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黑体" w:hAnsi="宋体" w:eastAsia="黑体"/>
          <w:szCs w:val="21"/>
        </w:rPr>
      </w:pPr>
    </w:p>
    <w:p>
      <w:pPr>
        <w:widowControl/>
        <w:snapToGrid w:val="0"/>
        <w:spacing w:line="360" w:lineRule="auto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《系统语法与词义辨析》课程教学大纲</w:t>
      </w:r>
    </w:p>
    <w:p>
      <w:pPr>
        <w:snapToGrid w:val="0"/>
        <w:spacing w:before="156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一、课程基本信息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3402"/>
        <w:gridCol w:w="3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cs="宋体"/>
                <w:szCs w:val="21"/>
                <w:lang w:val="de-DE"/>
              </w:rPr>
            </w:pPr>
            <w:r>
              <w:rPr>
                <w:rFonts w:hint="eastAsia" w:ascii="宋体" w:hAnsi="宋体" w:cs="宋体"/>
                <w:szCs w:val="21"/>
                <w:lang w:val="de-DE"/>
              </w:rPr>
              <w:t>系统语法与词义辨析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德文名称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Grammatik und Wortschatz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课程代码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ZYK0210051</w:t>
            </w:r>
          </w:p>
        </w:tc>
        <w:tc>
          <w:tcPr>
            <w:tcW w:w="3843" w:type="dxa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与其他课程关系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课程性质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default" w:asci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专业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任选课</w:t>
            </w:r>
          </w:p>
        </w:tc>
        <w:tc>
          <w:tcPr>
            <w:tcW w:w="3843" w:type="dxa"/>
            <w:vMerge w:val="restart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ind w:left="78" w:leftChars="37" w:firstLine="420" w:firstLineChars="200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本课程在前三学年的德语语言学习基础上</w:t>
            </w:r>
            <w:r>
              <w:rPr>
                <w:rFonts w:hint="eastAsia" w:ascii="宋体" w:cs="宋体"/>
                <w:szCs w:val="21"/>
              </w:rPr>
              <w:t>，</w:t>
            </w:r>
            <w:r>
              <w:rPr>
                <w:rFonts w:ascii="宋体" w:cs="宋体"/>
                <w:szCs w:val="21"/>
              </w:rPr>
              <w:t>着重提高语法和词汇能力</w:t>
            </w:r>
            <w:r>
              <w:rPr>
                <w:rFonts w:hint="eastAsia" w:ascii="宋体" w:cs="宋体"/>
                <w:szCs w:val="21"/>
              </w:rPr>
              <w:t>，以期达到八级考试的要求。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学分</w:t>
            </w:r>
          </w:p>
        </w:tc>
        <w:tc>
          <w:tcPr>
            <w:tcW w:w="3402" w:type="dxa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cs="宋体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  <w:r>
              <w:rPr>
                <w:rFonts w:hint="eastAsia" w:ascii="宋体" w:hAnsi="宋体" w:cs="宋体"/>
                <w:szCs w:val="21"/>
              </w:rPr>
              <w:t>学时</w:t>
            </w:r>
            <w:r>
              <w:rPr>
                <w:rFonts w:ascii="宋体" w:hAnsi="宋体" w:cs="宋体"/>
                <w:szCs w:val="21"/>
              </w:rPr>
              <w:t>/2</w:t>
            </w:r>
            <w:r>
              <w:rPr>
                <w:rFonts w:hint="eastAsia" w:ascii="宋体" w:hAnsi="宋体" w:cs="宋体"/>
                <w:szCs w:val="21"/>
              </w:rPr>
              <w:t>学分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考核方式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闭卷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开课学期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第7学期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开课院系</w:t>
            </w:r>
          </w:p>
        </w:tc>
        <w:tc>
          <w:tcPr>
            <w:tcW w:w="34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eastAsia" w:asci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德语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学院</w:t>
            </w:r>
          </w:p>
        </w:tc>
        <w:tc>
          <w:tcPr>
            <w:tcW w:w="3843" w:type="dxa"/>
            <w:vMerge w:val="continue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适用专业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德语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编制时间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ascii="宋体" w:hAnsi="宋体" w:cs="宋体"/>
                <w:szCs w:val="21"/>
              </w:rPr>
              <w:t>0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课程教材与学习资源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参考教材</w:t>
            </w:r>
          </w:p>
        </w:tc>
        <w:tc>
          <w:tcPr>
            <w:tcW w:w="7245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left"/>
              <w:rPr>
                <w:szCs w:val="21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>德语中高级词汇练习与解析， 彭彧主编，同济大学出版社，2014年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2" w:hRule="atLeast"/>
        </w:trPr>
        <w:tc>
          <w:tcPr>
            <w:tcW w:w="1565" w:type="dxa"/>
            <w:tcBorders>
              <w:top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 w:hAnsi="宋体"/>
                <w:szCs w:val="21"/>
              </w:rPr>
              <w:t>教学参考资料及其他学习资源</w:t>
            </w:r>
          </w:p>
        </w:tc>
        <w:tc>
          <w:tcPr>
            <w:tcW w:w="7245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 xml:space="preserve">1. </w:t>
            </w:r>
            <w:r>
              <w:rPr>
                <w:sz w:val="24"/>
                <w:lang w:val="de-DE"/>
              </w:rPr>
              <w:t>Deutsch als Fremdsprache:  Übungsgrammatik für die Mittelstufe</w:t>
            </w:r>
          </w:p>
          <w:p>
            <w:pPr>
              <w:rPr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>2.</w:t>
            </w:r>
            <w:r>
              <w:rPr>
                <w:sz w:val="24"/>
                <w:lang w:val="de-DE"/>
              </w:rPr>
              <w:t xml:space="preserve"> </w:t>
            </w:r>
            <w:r>
              <w:rPr>
                <w:rFonts w:hint="eastAsia"/>
                <w:sz w:val="24"/>
                <w:lang w:val="de-DE"/>
              </w:rPr>
              <w:t>Deutsch als Fremdsprache</w:t>
            </w:r>
            <w:r>
              <w:rPr>
                <w:sz w:val="24"/>
                <w:lang w:val="de-DE"/>
              </w:rPr>
              <w:t xml:space="preserve">: Übungen zum Wortschatz der deutschen Schriftsprache.  </w:t>
            </w:r>
          </w:p>
          <w:p>
            <w:pPr>
              <w:rPr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 xml:space="preserve">3. </w:t>
            </w:r>
            <w:r>
              <w:rPr>
                <w:sz w:val="24"/>
                <w:lang w:val="de-DE"/>
              </w:rPr>
              <w:t>Wörter zur Wahl: Wortschatzübungen Deutsch als Fremdsprache</w:t>
            </w:r>
          </w:p>
          <w:p>
            <w:pPr>
              <w:rPr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 xml:space="preserve">4. </w:t>
            </w:r>
            <w:r>
              <w:rPr>
                <w:sz w:val="24"/>
                <w:lang w:val="de-DE"/>
              </w:rPr>
              <w:t>Idiomatische Redewendungen von A-Z: Ein Übungsbuch für Anfänger und Fortgeschrittene</w:t>
            </w:r>
          </w:p>
          <w:p>
            <w:pPr>
              <w:rPr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>5. 德福考前必备---词汇，徐立华，高等教育出版社，2</w:t>
            </w:r>
            <w:r>
              <w:rPr>
                <w:sz w:val="24"/>
                <w:lang w:val="de-DE"/>
              </w:rPr>
              <w:t>012年</w:t>
            </w:r>
          </w:p>
          <w:p>
            <w:pPr>
              <w:rPr>
                <w:sz w:val="24"/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>6. 德福/DSH 核心词汇详解，陈栋，同济大学出版社，2013年</w:t>
            </w:r>
          </w:p>
          <w:p>
            <w:pPr>
              <w:rPr>
                <w:lang w:val="de-DE"/>
              </w:rPr>
            </w:pPr>
            <w:r>
              <w:rPr>
                <w:rFonts w:hint="eastAsia"/>
                <w:sz w:val="24"/>
                <w:lang w:val="de-DE"/>
              </w:rPr>
              <w:t>7. 德语同义词，庄慧丽，外语教学与研究出版社，2017年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810" w:type="dxa"/>
            <w:gridSpan w:val="3"/>
            <w:tcBorders>
              <w:top w:val="single" w:color="auto" w:sz="4" w:space="0"/>
              <w:bottom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大纲编制人及责任人信息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大纲编制人员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</w:rPr>
              <w:t>蔡焰琼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审核负责人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张赟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5" w:type="dxa"/>
            <w:vAlign w:val="center"/>
          </w:tcPr>
          <w:p>
            <w:pPr>
              <w:snapToGrid w:val="0"/>
              <w:spacing w:before="78" w:beforeLines="25" w:line="30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审定负责人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78" w:beforeLines="25" w:line="300" w:lineRule="auto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李大雪</w:t>
            </w:r>
            <w:bookmarkStart w:id="0" w:name="_GoBack"/>
            <w:bookmarkEnd w:id="0"/>
          </w:p>
        </w:tc>
      </w:tr>
    </w:tbl>
    <w:p>
      <w:pPr>
        <w:snapToGrid w:val="0"/>
        <w:spacing w:line="360" w:lineRule="auto"/>
        <w:rPr>
          <w:rFonts w:ascii="黑体" w:hAnsi="宋体" w:eastAsia="黑体"/>
          <w:sz w:val="28"/>
          <w:szCs w:val="28"/>
        </w:rPr>
        <w:sectPr>
          <w:pgSz w:w="11906" w:h="16838"/>
          <w:pgMar w:top="1418" w:right="1418" w:bottom="1418" w:left="1701" w:header="851" w:footer="992" w:gutter="0"/>
          <w:cols w:space="720" w:num="1"/>
          <w:docGrid w:type="lines" w:linePitch="312" w:charSpace="0"/>
        </w:sectPr>
      </w:pPr>
    </w:p>
    <w:p>
      <w:pPr>
        <w:snapToGrid w:val="0"/>
        <w:spacing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二、课程目标与任务</w:t>
      </w:r>
    </w:p>
    <w:p>
      <w:pPr>
        <w:spacing w:line="360" w:lineRule="auto"/>
        <w:ind w:firstLine="420" w:firstLineChars="200"/>
      </w:pPr>
      <w:r>
        <w:rPr>
          <w:rFonts w:hint="eastAsia"/>
        </w:rPr>
        <w:t>本课程是高等院校德语专业本科的一门语法词汇的训练课程，让学生全面构建语法结构，掌握八级考试要求的词汇量，从而为听、说、读、写能力的全面提高打下坚固的基础。通过教学，要求做到以下两点：</w:t>
      </w:r>
    </w:p>
    <w:p>
      <w:pPr>
        <w:spacing w:line="360" w:lineRule="auto"/>
        <w:ind w:firstLine="420" w:firstLineChars="200"/>
      </w:pPr>
    </w:p>
    <w:p>
      <w:pPr>
        <w:spacing w:line="360" w:lineRule="auto"/>
        <w:ind w:firstLine="420" w:firstLineChars="200"/>
      </w:pPr>
      <w:r>
        <w:t>1.</w:t>
      </w:r>
      <w:r>
        <w:rPr>
          <w:rFonts w:hint="eastAsia"/>
          <w:szCs w:val="21"/>
        </w:rPr>
        <w:t xml:space="preserve"> </w:t>
      </w:r>
      <w:r>
        <w:rPr>
          <w:rFonts w:hint="eastAsia"/>
        </w:rPr>
        <w:t>让学生通过系统学习，掌握各种语法知识，提高在上下文中恰当运用德语语法的能力和运用德语的准确性，使学生能借助德语语法知识解决德语学习过程中的有关问题，提高运用德语交际的能力。</w:t>
      </w:r>
    </w:p>
    <w:p>
      <w:pPr>
        <w:pStyle w:val="3"/>
        <w:spacing w:line="360" w:lineRule="auto"/>
        <w:ind w:firstLine="411" w:firstLineChars="196"/>
        <w:rPr>
          <w:rFonts w:hint="eastAsia"/>
          <w:szCs w:val="21"/>
        </w:rPr>
      </w:pPr>
      <w:r>
        <w:t xml:space="preserve">2. </w:t>
      </w:r>
      <w:r>
        <w:rPr>
          <w:rFonts w:hint="eastAsia"/>
        </w:rPr>
        <w:t>学生掌握约</w:t>
      </w:r>
      <w:r>
        <w:rPr>
          <w:rFonts w:hint="eastAsia"/>
          <w:szCs w:val="21"/>
        </w:rPr>
        <w:t>10000个德语单词，能正确熟练使用其中约6000个左右词汇，了解其主要含义和用法，能对比近义词或同义词，准确使用常见的谚语和俗语。</w:t>
      </w:r>
    </w:p>
    <w:p>
      <w:pPr>
        <w:pStyle w:val="3"/>
        <w:spacing w:line="360" w:lineRule="auto"/>
        <w:ind w:firstLine="411" w:firstLineChars="196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3. 设置课前“红词汇”，收集积极向上的词汇例子，通过词汇树立正确的文化观，让学生在了解西方文化的同时坚定社会主义理想信念和文化自信。</w:t>
      </w:r>
    </w:p>
    <w:p>
      <w:pPr>
        <w:spacing w:line="360" w:lineRule="auto"/>
      </w:pPr>
    </w:p>
    <w:p>
      <w:pPr>
        <w:snapToGrid w:val="0"/>
        <w:spacing w:before="120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三、课程主要内容、要求及学时分配</w:t>
      </w:r>
    </w:p>
    <w:tbl>
      <w:tblPr>
        <w:tblStyle w:val="6"/>
        <w:tblW w:w="90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500"/>
        <w:gridCol w:w="2700"/>
        <w:gridCol w:w="11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4500" w:type="dxa"/>
            <w:vAlign w:val="bottom"/>
          </w:tcPr>
          <w:p>
            <w:pPr>
              <w:snapToGrid w:val="0"/>
              <w:spacing w:before="60" w:beforeLines="2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主要内容</w:t>
            </w:r>
          </w:p>
        </w:tc>
        <w:tc>
          <w:tcPr>
            <w:tcW w:w="2700" w:type="dxa"/>
            <w:vAlign w:val="bottom"/>
          </w:tcPr>
          <w:p>
            <w:pPr>
              <w:snapToGrid w:val="0"/>
              <w:spacing w:before="60" w:beforeLines="2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基本要求</w:t>
            </w: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学时分配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 </w:t>
            </w:r>
          </w:p>
        </w:tc>
        <w:tc>
          <w:tcPr>
            <w:tcW w:w="4500" w:type="dxa"/>
            <w:vAlign w:val="bottom"/>
          </w:tcPr>
          <w:p>
            <w:pPr>
              <w:ind w:left="420"/>
              <w:rPr>
                <w:bCs/>
                <w:szCs w:val="21"/>
              </w:rPr>
            </w:pPr>
            <w:r>
              <w:rPr>
                <w:bCs/>
                <w:szCs w:val="21"/>
              </w:rPr>
              <w:t>Satzglieder und Trennbarer Verbzusatz</w:t>
            </w:r>
          </w:p>
          <w:p>
            <w:pPr>
              <w:ind w:left="420"/>
            </w:pPr>
            <w:r>
              <w:rPr>
                <w:rFonts w:hint="eastAsia"/>
              </w:rPr>
              <w:t>知识要点：</w:t>
            </w:r>
          </w:p>
          <w:p>
            <w:pPr>
              <w:pStyle w:val="3"/>
              <w:spacing w:after="0"/>
              <w:ind w:firstLine="420" w:firstLine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1)</w:t>
            </w:r>
            <w:r>
              <w:rPr>
                <w:bCs/>
                <w:szCs w:val="21"/>
              </w:rPr>
              <w:t xml:space="preserve"> Wortarten und Satzglieder</w:t>
            </w:r>
          </w:p>
          <w:p>
            <w:pPr>
              <w:pStyle w:val="3"/>
              <w:spacing w:after="0"/>
              <w:ind w:firstLine="420" w:firstLine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2)</w:t>
            </w:r>
            <w:r>
              <w:rPr>
                <w:bCs/>
                <w:szCs w:val="21"/>
              </w:rPr>
              <w:t xml:space="preserve"> trennbaren Vorsilben (bei-, fest-, herunter-, nach-, zurecht-, zurück-, zusammen-)</w:t>
            </w:r>
          </w:p>
          <w:p>
            <w:pPr>
              <w:ind w:left="420"/>
              <w:rPr>
                <w:lang w:val="de-DE"/>
              </w:rPr>
            </w:pPr>
            <w:r>
              <w:rPr>
                <w:rFonts w:hint="eastAsia"/>
                <w:lang w:val="de-DE"/>
              </w:rPr>
              <w:t>Schwerpunkte</w:t>
            </w:r>
            <w:r>
              <w:rPr>
                <w:lang w:val="de-DE"/>
              </w:rPr>
              <w:t>:</w:t>
            </w:r>
          </w:p>
          <w:p>
            <w:pPr>
              <w:pStyle w:val="3"/>
              <w:spacing w:after="0"/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1.</w:t>
            </w:r>
            <w:r>
              <w:rPr>
                <w:bCs/>
                <w:szCs w:val="21"/>
                <w:lang w:val="de-DE"/>
              </w:rPr>
              <w:t>Die Studenten sollen</w:t>
            </w:r>
            <w:r>
              <w:rPr>
                <w:rFonts w:hint="eastAsia"/>
                <w:bCs/>
                <w:szCs w:val="21"/>
                <w:lang w:val="de-DE"/>
              </w:rPr>
              <w:t xml:space="preserve"> die unterschiedlichen </w:t>
            </w:r>
            <w:r>
              <w:rPr>
                <w:bCs/>
                <w:szCs w:val="21"/>
                <w:lang w:val="de-DE"/>
              </w:rPr>
              <w:t>Wortarten und Satzglieder</w:t>
            </w:r>
            <w:r>
              <w:rPr>
                <w:rFonts w:hint="eastAsia"/>
                <w:bCs/>
                <w:szCs w:val="21"/>
                <w:lang w:val="de-DE"/>
              </w:rPr>
              <w:t xml:space="preserve"> beherrschen</w:t>
            </w:r>
            <w:r>
              <w:rPr>
                <w:bCs/>
                <w:szCs w:val="21"/>
                <w:lang w:val="de-DE"/>
              </w:rPr>
              <w:t>.</w:t>
            </w:r>
          </w:p>
          <w:p>
            <w:pPr>
              <w:pStyle w:val="3"/>
              <w:spacing w:after="0"/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2.</w:t>
            </w:r>
            <w:r>
              <w:rPr>
                <w:bCs/>
                <w:szCs w:val="21"/>
                <w:lang w:val="de-DE"/>
              </w:rPr>
              <w:t>Die Studenten sollen trennbaren Vorsilben (bei-, fest-, herunter-, nach-, zurecht-, zurück-, zusammen-) beherrschen.</w:t>
            </w:r>
          </w:p>
          <w:p>
            <w:pPr>
              <w:ind w:left="420"/>
              <w:rPr>
                <w:lang w:val="de-DE"/>
              </w:rPr>
            </w:pPr>
            <w:r>
              <w:rPr>
                <w:rFonts w:hint="eastAsia"/>
              </w:rPr>
              <w:t>Praxis</w:t>
            </w:r>
            <w:r>
              <w:rPr>
                <w:rFonts w:hint="eastAsia"/>
                <w:lang w:val="de-DE"/>
              </w:rPr>
              <w:t>：</w:t>
            </w:r>
          </w:p>
          <w:p>
            <w:pPr>
              <w:ind w:firstLine="420" w:firstLineChars="200"/>
              <w:rPr>
                <w:szCs w:val="21"/>
              </w:rPr>
            </w:pPr>
            <w:r>
              <w:rPr>
                <w:lang w:val="de-DE"/>
              </w:rPr>
              <w:t>Satzglieder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de-DE"/>
              </w:rPr>
              <w:t>掌握德语的词类和句子成分</w:t>
            </w:r>
            <w:r>
              <w:rPr>
                <w:rFonts w:hint="eastAsia"/>
              </w:rPr>
              <w:t>；</w:t>
            </w:r>
            <w:r>
              <w:rPr>
                <w:rFonts w:hint="eastAsia" w:ascii="宋体"/>
                <w:szCs w:val="21"/>
                <w:lang w:val="de-DE"/>
              </w:rPr>
              <w:t>了解</w:t>
            </w:r>
            <w:r>
              <w:rPr>
                <w:bCs/>
                <w:szCs w:val="21"/>
              </w:rPr>
              <w:t>bei-, fest-, herunter-, nach-, zurecht-, zurück-, zusammen-</w:t>
            </w:r>
            <w:r>
              <w:rPr>
                <w:bCs/>
                <w:szCs w:val="21"/>
                <w:lang w:val="de-DE"/>
              </w:rPr>
              <w:t>等前缀的构词规律以及含义</w:t>
            </w:r>
          </w:p>
          <w:p>
            <w:pPr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 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hint="eastAsia" w:ascii="宋体"/>
                <w:szCs w:val="21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2</w:t>
            </w:r>
          </w:p>
        </w:tc>
        <w:tc>
          <w:tcPr>
            <w:tcW w:w="4500" w:type="dxa"/>
            <w:vAlign w:val="bottom"/>
          </w:tcPr>
          <w:p>
            <w:pPr>
              <w:ind w:firstLine="525" w:firstLineChars="250"/>
            </w:pPr>
            <w:r>
              <w:rPr>
                <w:bCs/>
                <w:szCs w:val="21"/>
                <w:lang w:val="de-DE"/>
              </w:rPr>
              <w:t xml:space="preserve">Ergänzugen </w:t>
            </w:r>
            <w:r>
              <w:rPr>
                <w:bCs/>
                <w:szCs w:val="21"/>
              </w:rPr>
              <w:t>und Trennbarer Verbzusatz</w:t>
            </w:r>
          </w:p>
          <w:p>
            <w:pPr>
              <w:ind w:firstLine="525" w:firstLineChars="250"/>
              <w:rPr>
                <w:rFonts w:ascii="宋体"/>
                <w:b/>
                <w:szCs w:val="21"/>
                <w:lang w:val="de-DE"/>
              </w:rPr>
            </w:pPr>
            <w:r>
              <w:rPr>
                <w:rFonts w:hint="eastAsia"/>
              </w:rPr>
              <w:t>知识要点</w:t>
            </w:r>
            <w:r>
              <w:rPr>
                <w:rFonts w:hint="eastAsia"/>
                <w:lang w:val="de-DE"/>
              </w:rPr>
              <w:t>：</w:t>
            </w:r>
          </w:p>
          <w:p>
            <w:pPr>
              <w:pStyle w:val="3"/>
              <w:numPr>
                <w:ilvl w:val="0"/>
                <w:numId w:val="1"/>
              </w:numPr>
              <w:spacing w:after="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 xml:space="preserve">Rektion der Verben 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7080"/>
              </w:tabs>
              <w:ind w:firstLineChars="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 xml:space="preserve">Rektion der Adjektive </w:t>
            </w:r>
          </w:p>
          <w:p>
            <w:pPr>
              <w:pStyle w:val="3"/>
              <w:numPr>
                <w:ilvl w:val="0"/>
                <w:numId w:val="1"/>
              </w:numPr>
              <w:spacing w:after="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>Die trennbaren Vorsilben (ab-, an-, auf-, aus-)</w:t>
            </w:r>
          </w:p>
          <w:p>
            <w:pPr>
              <w:pStyle w:val="3"/>
              <w:spacing w:after="0"/>
              <w:ind w:left="1365" w:hanging="1365" w:hangingChars="650"/>
              <w:rPr>
                <w:lang w:val="de-DE"/>
              </w:rPr>
            </w:pPr>
            <w:r>
              <w:rPr>
                <w:lang w:val="de-DE"/>
              </w:rPr>
              <w:t xml:space="preserve">   </w:t>
            </w:r>
            <w:r>
              <w:rPr>
                <w:rFonts w:hint="eastAsia"/>
                <w:lang w:val="de-DE"/>
              </w:rPr>
              <w:t xml:space="preserve">  Schwerpunkte：</w:t>
            </w:r>
          </w:p>
          <w:p>
            <w:pPr>
              <w:pStyle w:val="3"/>
              <w:spacing w:after="0"/>
              <w:ind w:firstLine="525" w:firstLineChars="250"/>
              <w:rPr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1. </w:t>
            </w:r>
            <w:r>
              <w:rPr>
                <w:bCs/>
                <w:szCs w:val="21"/>
                <w:lang w:val="de-DE"/>
              </w:rPr>
              <w:t xml:space="preserve">Die Studenten sollen </w:t>
            </w:r>
            <w:r>
              <w:rPr>
                <w:lang w:val="de-DE"/>
              </w:rPr>
              <w:t xml:space="preserve">Rektion der Verben und der Adjektvie </w:t>
            </w:r>
            <w:r>
              <w:rPr>
                <w:bCs/>
                <w:szCs w:val="21"/>
                <w:lang w:val="de-DE"/>
              </w:rPr>
              <w:t xml:space="preserve">beherrschen. </w:t>
            </w:r>
          </w:p>
          <w:p>
            <w:pPr>
              <w:pStyle w:val="3"/>
              <w:spacing w:after="0"/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2. </w:t>
            </w:r>
            <w:r>
              <w:rPr>
                <w:bCs/>
                <w:szCs w:val="21"/>
                <w:lang w:val="de-DE"/>
              </w:rPr>
              <w:t>Die Studenten sollen die trennbaren Vorsilben (ab-, an-, auf-, aus-) beherrschen</w:t>
            </w:r>
          </w:p>
          <w:p>
            <w:pPr>
              <w:tabs>
                <w:tab w:val="left" w:pos="7080"/>
              </w:tabs>
              <w:rPr>
                <w:lang w:val="de-DE"/>
              </w:rPr>
            </w:pPr>
            <w:r>
              <w:rPr>
                <w:lang w:val="de-DE"/>
              </w:rPr>
              <w:t xml:space="preserve">  </w:t>
            </w:r>
            <w:r>
              <w:rPr>
                <w:rFonts w:hint="eastAsia"/>
                <w:lang w:val="de-DE"/>
              </w:rPr>
              <w:t xml:space="preserve">   Praxis：</w:t>
            </w:r>
          </w:p>
          <w:p>
            <w:pPr>
              <w:pStyle w:val="3"/>
              <w:spacing w:after="0"/>
              <w:ind w:left="1365" w:leftChars="200" w:hanging="945" w:hangingChars="450"/>
              <w:jc w:val="left"/>
              <w:rPr>
                <w:lang w:val="de-DE"/>
              </w:rPr>
            </w:pPr>
            <w:r>
              <w:rPr>
                <w:rFonts w:hint="eastAsia"/>
                <w:lang w:val="de-DE"/>
              </w:rPr>
              <w:t xml:space="preserve"> </w:t>
            </w:r>
            <w:r>
              <w:rPr>
                <w:lang w:val="de-DE"/>
              </w:rPr>
              <w:t>Unterschiedliche Ergänzungen</w:t>
            </w:r>
          </w:p>
          <w:p>
            <w:pPr>
              <w:pStyle w:val="3"/>
              <w:spacing w:after="0"/>
              <w:ind w:left="1365" w:leftChars="250" w:hanging="840" w:hangingChars="400"/>
              <w:rPr>
                <w:lang w:val="de-DE"/>
              </w:rPr>
            </w:pPr>
            <w:r>
              <w:rPr>
                <w:bCs/>
                <w:szCs w:val="21"/>
                <w:lang w:val="de-DE"/>
              </w:rPr>
              <w:t>Vorsilben (ab-, an-, auf-, aus-)</w:t>
            </w:r>
          </w:p>
        </w:tc>
        <w:tc>
          <w:tcPr>
            <w:tcW w:w="2700" w:type="dxa"/>
            <w:vAlign w:val="bottom"/>
          </w:tcPr>
          <w:p>
            <w:pPr>
              <w:rPr>
                <w:szCs w:val="21"/>
                <w:lang w:val="de-DE"/>
              </w:rPr>
            </w:pPr>
          </w:p>
          <w:p>
            <w:pPr>
              <w:rPr>
                <w:bCs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掌握常见的动词以及形容词支配的补足语；了解</w:t>
            </w:r>
            <w:r>
              <w:rPr>
                <w:rFonts w:ascii="宋体"/>
                <w:szCs w:val="21"/>
                <w:lang w:val="de-DE"/>
              </w:rPr>
              <w:t xml:space="preserve"> </w:t>
            </w:r>
            <w:r>
              <w:rPr>
                <w:bCs/>
                <w:szCs w:val="21"/>
                <w:lang w:val="de-DE"/>
              </w:rPr>
              <w:t xml:space="preserve"> (ab-, an-, auf-, aus-)前缀的构词规律以及含义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rPr>
                <w:bCs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3</w:t>
            </w:r>
          </w:p>
        </w:tc>
        <w:tc>
          <w:tcPr>
            <w:tcW w:w="4500" w:type="dxa"/>
            <w:vAlign w:val="bottom"/>
          </w:tcPr>
          <w:p>
            <w:pPr>
              <w:ind w:firstLine="420" w:firstLineChars="200"/>
              <w:rPr>
                <w:lang w:val="de-DE"/>
              </w:rPr>
            </w:pPr>
            <w:r>
              <w:rPr>
                <w:bCs/>
                <w:szCs w:val="21"/>
                <w:lang w:val="de-DE"/>
              </w:rPr>
              <w:t>Ergänzugen und Trennbarer Verbzusatz</w:t>
            </w:r>
          </w:p>
          <w:p>
            <w:pPr>
              <w:rPr>
                <w:lang w:val="de-DE"/>
              </w:rPr>
            </w:pPr>
            <w:r>
              <w:rPr>
                <w:bCs/>
                <w:szCs w:val="21"/>
                <w:lang w:val="de-DE"/>
              </w:rPr>
              <w:t xml:space="preserve">   </w:t>
            </w:r>
            <w:r>
              <w:rPr>
                <w:rFonts w:hint="eastAsia"/>
                <w:bCs/>
                <w:szCs w:val="21"/>
                <w:lang w:val="de-DE"/>
              </w:rPr>
              <w:t xml:space="preserve"> </w:t>
            </w:r>
            <w:r>
              <w:rPr>
                <w:rFonts w:hint="eastAsia"/>
              </w:rPr>
              <w:t>知识要点</w:t>
            </w:r>
            <w:r>
              <w:rPr>
                <w:rFonts w:hint="eastAsia"/>
                <w:lang w:val="de-DE"/>
              </w:rPr>
              <w:t>：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1) </w:t>
            </w:r>
            <w:r>
              <w:rPr>
                <w:bCs/>
                <w:szCs w:val="21"/>
                <w:lang w:val="de-DE"/>
              </w:rPr>
              <w:t xml:space="preserve">Verbalisierung von Ergänzungen 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2) </w:t>
            </w:r>
            <w:r>
              <w:rPr>
                <w:bCs/>
                <w:szCs w:val="21"/>
                <w:lang w:val="de-DE"/>
              </w:rPr>
              <w:t>Ergänzungen in nominaler Form und Ergänzungssätze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3) </w:t>
            </w:r>
            <w:r>
              <w:rPr>
                <w:bCs/>
                <w:szCs w:val="21"/>
                <w:lang w:val="de-DE"/>
              </w:rPr>
              <w:t>Die trennbaren Vorsilben (wie ein-, vor-, zu-)</w:t>
            </w:r>
          </w:p>
          <w:p>
            <w:pPr>
              <w:pStyle w:val="3"/>
              <w:spacing w:after="0"/>
              <w:ind w:left="1365" w:hanging="1365" w:hangingChars="650"/>
              <w:rPr>
                <w:lang w:val="de-DE"/>
              </w:rPr>
            </w:pPr>
            <w:r>
              <w:rPr>
                <w:lang w:val="de-DE"/>
              </w:rPr>
              <w:t xml:space="preserve">  </w:t>
            </w:r>
            <w:r>
              <w:rPr>
                <w:rFonts w:hint="eastAsia"/>
                <w:lang w:val="de-DE"/>
              </w:rPr>
              <w:t xml:space="preserve"> 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Schwerpunkte：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1. </w:t>
            </w:r>
            <w:r>
              <w:rPr>
                <w:bCs/>
                <w:szCs w:val="21"/>
                <w:lang w:val="de-DE"/>
              </w:rPr>
              <w:t>Die Studenten können verschiedene Arten von Ergänzungen zu verbalisieren.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2.  </w:t>
            </w:r>
            <w:r>
              <w:rPr>
                <w:bCs/>
                <w:szCs w:val="21"/>
                <w:lang w:val="de-DE"/>
              </w:rPr>
              <w:t>Die Studenten können Ergänzungen in nominaler Form in Ergänzungssätze umformen, oder umgekehrt.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 xml:space="preserve">3. </w:t>
            </w:r>
            <w:r>
              <w:rPr>
                <w:bCs/>
                <w:szCs w:val="21"/>
                <w:lang w:val="de-DE"/>
              </w:rPr>
              <w:t>Die Studenten sollen Vorsilben (ein-, vor-, zu-)</w:t>
            </w:r>
            <w:r>
              <w:rPr>
                <w:rFonts w:hint="eastAsia"/>
                <w:bCs/>
                <w:szCs w:val="21"/>
                <w:lang w:val="de-DE"/>
              </w:rPr>
              <w:t>beherrschen</w:t>
            </w:r>
            <w:r>
              <w:rPr>
                <w:bCs/>
                <w:szCs w:val="21"/>
                <w:lang w:val="de-DE"/>
              </w:rPr>
              <w:t>.</w:t>
            </w:r>
          </w:p>
          <w:p>
            <w:pPr>
              <w:tabs>
                <w:tab w:val="left" w:pos="7080"/>
              </w:tabs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  </w:t>
            </w:r>
            <w:r>
              <w:rPr>
                <w:rFonts w:hint="eastAsia"/>
                <w:szCs w:val="21"/>
                <w:lang w:val="de-DE"/>
              </w:rPr>
              <w:t xml:space="preserve">   Praxis：</w:t>
            </w:r>
          </w:p>
          <w:p>
            <w:pPr>
              <w:pStyle w:val="3"/>
              <w:spacing w:after="0"/>
              <w:ind w:firstLine="525" w:firstLineChars="25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Umformen der Ergänzungen </w:t>
            </w:r>
          </w:p>
          <w:p>
            <w:pPr>
              <w:pStyle w:val="3"/>
              <w:spacing w:after="0"/>
              <w:ind w:firstLine="525" w:firstLineChars="250"/>
              <w:rPr>
                <w:lang w:val="de-DE"/>
              </w:rPr>
            </w:pPr>
            <w:r>
              <w:rPr>
                <w:bCs/>
                <w:szCs w:val="21"/>
                <w:lang w:val="de-DE"/>
              </w:rPr>
              <w:t>Vorsilben (ein-, vor-, zu-)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bCs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熟练地完成</w:t>
            </w:r>
            <w:r>
              <w:rPr>
                <w:rFonts w:hint="eastAsia"/>
              </w:rPr>
              <w:t>名词性补足语和补足语从句</w:t>
            </w:r>
            <w:r>
              <w:rPr>
                <w:rFonts w:hint="eastAsia" w:ascii="宋体"/>
                <w:szCs w:val="21"/>
                <w:lang w:val="de-DE"/>
              </w:rPr>
              <w:t>之间的互换；了解</w:t>
            </w:r>
            <w:r>
              <w:rPr>
                <w:rFonts w:ascii="宋体"/>
                <w:szCs w:val="21"/>
                <w:lang w:val="de-DE"/>
              </w:rPr>
              <w:t xml:space="preserve"> </w:t>
            </w:r>
            <w:r>
              <w:rPr>
                <w:bCs/>
                <w:szCs w:val="21"/>
                <w:lang w:val="de-DE"/>
              </w:rPr>
              <w:t xml:space="preserve"> (ein-, vor-, zu-)前缀的构词规律以及含义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hint="eastAsia"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hint="eastAsia"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4</w:t>
            </w:r>
          </w:p>
        </w:tc>
        <w:tc>
          <w:tcPr>
            <w:tcW w:w="4500" w:type="dxa"/>
            <w:vAlign w:val="bottom"/>
          </w:tcPr>
          <w:p>
            <w:pPr>
              <w:ind w:firstLine="525" w:firstLineChars="25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Angaben und </w:t>
            </w:r>
            <w:r>
              <w:rPr>
                <w:bCs/>
                <w:szCs w:val="21"/>
                <w:lang w:val="de-DE"/>
              </w:rPr>
              <w:t>untrennbaren Vorsilben</w:t>
            </w:r>
          </w:p>
          <w:p>
            <w:pPr>
              <w:ind w:firstLine="525" w:firstLineChars="250"/>
              <w:rPr>
                <w:lang w:val="de-DE"/>
              </w:rPr>
            </w:pPr>
            <w:r>
              <w:rPr>
                <w:rFonts w:hint="eastAsia"/>
              </w:rPr>
              <w:t>知识要点</w:t>
            </w:r>
            <w:r>
              <w:rPr>
                <w:rFonts w:hint="eastAsia"/>
                <w:lang w:val="de-DE"/>
              </w:rPr>
              <w:t>：</w:t>
            </w:r>
          </w:p>
          <w:p>
            <w:pPr>
              <w:pStyle w:val="3"/>
              <w:numPr>
                <w:ilvl w:val="0"/>
                <w:numId w:val="2"/>
              </w:numPr>
              <w:spacing w:after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Temporal-Angaben </w:t>
            </w:r>
          </w:p>
          <w:p>
            <w:pPr>
              <w:pStyle w:val="3"/>
              <w:numPr>
                <w:ilvl w:val="0"/>
                <w:numId w:val="2"/>
              </w:numPr>
              <w:spacing w:after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Kaus</w:t>
            </w:r>
            <w:r>
              <w:rPr>
                <w:rFonts w:hint="eastAsia"/>
                <w:szCs w:val="21"/>
                <w:lang w:val="de-DE"/>
              </w:rPr>
              <w:t xml:space="preserve">al-Angaben </w:t>
            </w:r>
          </w:p>
          <w:p>
            <w:pPr>
              <w:pStyle w:val="3"/>
              <w:numPr>
                <w:ilvl w:val="0"/>
                <w:numId w:val="2"/>
              </w:numPr>
              <w:spacing w:after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(be-, ent-)</w:t>
            </w:r>
          </w:p>
          <w:p>
            <w:pPr>
              <w:pStyle w:val="3"/>
              <w:spacing w:after="0"/>
              <w:ind w:left="1365" w:hanging="1365" w:hangingChars="65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  </w:t>
            </w:r>
            <w:r>
              <w:rPr>
                <w:rFonts w:hint="eastAsia"/>
                <w:szCs w:val="21"/>
                <w:lang w:val="de-DE"/>
              </w:rPr>
              <w:t xml:space="preserve">   Schwerpunkte：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>1. Die Studenten sollen</w:t>
            </w:r>
            <w:r>
              <w:rPr>
                <w:rFonts w:hint="eastAsia"/>
                <w:bCs/>
                <w:szCs w:val="21"/>
                <w:lang w:val="de-DE"/>
              </w:rPr>
              <w:t xml:space="preserve"> </w:t>
            </w:r>
            <w:r>
              <w:rPr>
                <w:bCs/>
                <w:szCs w:val="21"/>
                <w:lang w:val="de-DE"/>
              </w:rPr>
              <w:t>die nominale Angaben in Nebensätze umzuformen, oder umgekehrt</w:t>
            </w:r>
            <w:r>
              <w:rPr>
                <w:rFonts w:hint="eastAsia"/>
                <w:bCs/>
                <w:szCs w:val="21"/>
                <w:lang w:val="de-DE"/>
              </w:rPr>
              <w:t>.</w:t>
            </w:r>
          </w:p>
          <w:p>
            <w:pPr>
              <w:pStyle w:val="3"/>
              <w:spacing w:after="0"/>
              <w:ind w:firstLine="525" w:firstLineChars="250"/>
              <w:rPr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 xml:space="preserve">2. Die Studenten sollen </w:t>
            </w: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(be-) beherrschen.</w:t>
            </w:r>
          </w:p>
          <w:p>
            <w:pPr>
              <w:tabs>
                <w:tab w:val="left" w:pos="7080"/>
              </w:tabs>
              <w:rPr>
                <w:lang w:val="de-DE"/>
              </w:rPr>
            </w:pPr>
            <w:r>
              <w:rPr>
                <w:lang w:val="de-DE"/>
              </w:rPr>
              <w:t xml:space="preserve">  </w:t>
            </w:r>
            <w:r>
              <w:rPr>
                <w:rFonts w:hint="eastAsia"/>
                <w:lang w:val="de-DE"/>
              </w:rPr>
              <w:t xml:space="preserve">   Praxis：</w:t>
            </w:r>
          </w:p>
          <w:p>
            <w:pPr>
              <w:pStyle w:val="3"/>
              <w:spacing w:after="0"/>
              <w:ind w:left="1365" w:leftChars="250" w:hanging="840" w:hangingChars="4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Umformen der Angaben</w:t>
            </w:r>
          </w:p>
          <w:p>
            <w:pPr>
              <w:pStyle w:val="3"/>
              <w:spacing w:after="0"/>
              <w:ind w:left="1365" w:leftChars="250" w:hanging="840" w:hangingChars="400"/>
              <w:rPr>
                <w:lang w:val="de-DE"/>
              </w:rPr>
            </w:pP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(be-,)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熟练地掌握名词性时间和原因说明语与说明语从句之间的互换；了解</w:t>
            </w:r>
            <w:r>
              <w:rPr>
                <w:bCs/>
                <w:szCs w:val="21"/>
                <w:lang w:val="de-DE"/>
              </w:rPr>
              <w:t>不可分前缀(be-)的构词规律以及含义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 xml:space="preserve">2 </w:t>
            </w:r>
            <w:r>
              <w:rPr>
                <w:rFonts w:hint="eastAsia" w:ascii="宋体"/>
                <w:szCs w:val="21"/>
                <w:lang w:val="de-DE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5</w:t>
            </w:r>
          </w:p>
        </w:tc>
        <w:tc>
          <w:tcPr>
            <w:tcW w:w="4500" w:type="dxa"/>
            <w:vAlign w:val="bottom"/>
          </w:tcPr>
          <w:p>
            <w:pPr>
              <w:ind w:firstLine="525" w:firstLineChars="25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Angaben und </w:t>
            </w:r>
            <w:r>
              <w:rPr>
                <w:bCs/>
                <w:szCs w:val="21"/>
                <w:lang w:val="de-DE"/>
              </w:rPr>
              <w:t>untrennbaren Vorsilben</w:t>
            </w:r>
          </w:p>
          <w:p>
            <w:pPr>
              <w:ind w:firstLine="525" w:firstLineChars="250"/>
              <w:rPr>
                <w:rFonts w:ascii="宋体"/>
                <w:b/>
                <w:szCs w:val="21"/>
                <w:lang w:val="de-DE"/>
              </w:rPr>
            </w:pPr>
            <w:r>
              <w:rPr>
                <w:rFonts w:hint="eastAsia"/>
                <w:szCs w:val="21"/>
              </w:rPr>
              <w:t>知识要点</w:t>
            </w:r>
            <w:r>
              <w:rPr>
                <w:rFonts w:hint="eastAsia"/>
                <w:szCs w:val="21"/>
                <w:lang w:val="de-DE"/>
              </w:rPr>
              <w:t>：</w:t>
            </w:r>
          </w:p>
          <w:p>
            <w:pPr>
              <w:pStyle w:val="3"/>
              <w:numPr>
                <w:ilvl w:val="0"/>
                <w:numId w:val="3"/>
              </w:numPr>
              <w:spacing w:after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Final</w:t>
            </w:r>
            <w:r>
              <w:rPr>
                <w:rFonts w:hint="eastAsia"/>
                <w:szCs w:val="21"/>
                <w:lang w:val="de-DE"/>
              </w:rPr>
              <w:t>-Angaben</w:t>
            </w:r>
            <w:r>
              <w:rPr>
                <w:szCs w:val="21"/>
                <w:lang w:val="de-DE"/>
              </w:rPr>
              <w:t>, Konditional</w:t>
            </w:r>
            <w:r>
              <w:rPr>
                <w:rFonts w:hint="eastAsia"/>
                <w:szCs w:val="21"/>
                <w:lang w:val="de-DE"/>
              </w:rPr>
              <w:t>-Angaben</w:t>
            </w:r>
            <w:r>
              <w:rPr>
                <w:szCs w:val="21"/>
                <w:lang w:val="de-DE"/>
              </w:rPr>
              <w:t>,</w:t>
            </w:r>
          </w:p>
          <w:p>
            <w:pPr>
              <w:pStyle w:val="3"/>
              <w:spacing w:after="0"/>
              <w:ind w:left="525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Konzessiv-Angaben, Propotional-Angaben</w:t>
            </w:r>
          </w:p>
          <w:p>
            <w:pPr>
              <w:pStyle w:val="3"/>
              <w:numPr>
                <w:ilvl w:val="0"/>
                <w:numId w:val="3"/>
              </w:numPr>
              <w:spacing w:after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(ent-, er-)</w:t>
            </w:r>
          </w:p>
          <w:p>
            <w:pPr>
              <w:pStyle w:val="3"/>
              <w:spacing w:after="0"/>
              <w:ind w:left="1365" w:hanging="1365" w:hangingChars="650"/>
              <w:rPr>
                <w:lang w:val="de-DE"/>
              </w:rPr>
            </w:pPr>
            <w:r>
              <w:rPr>
                <w:lang w:val="de-DE"/>
              </w:rPr>
              <w:t xml:space="preserve">  </w:t>
            </w:r>
            <w:r>
              <w:rPr>
                <w:rFonts w:hint="eastAsia"/>
                <w:lang w:val="de-DE"/>
              </w:rPr>
              <w:t xml:space="preserve">   Schwerpunkte：</w:t>
            </w:r>
          </w:p>
          <w:p>
            <w:pPr>
              <w:tabs>
                <w:tab w:val="left" w:pos="7080"/>
              </w:tabs>
              <w:ind w:firstLine="525" w:firstLineChars="25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>1. Die Studenten sollen</w:t>
            </w:r>
            <w:r>
              <w:rPr>
                <w:rFonts w:hint="eastAsia"/>
                <w:bCs/>
                <w:szCs w:val="21"/>
                <w:lang w:val="de-DE"/>
              </w:rPr>
              <w:t xml:space="preserve"> </w:t>
            </w:r>
            <w:r>
              <w:rPr>
                <w:bCs/>
                <w:szCs w:val="21"/>
                <w:lang w:val="de-DE"/>
              </w:rPr>
              <w:t>die nominale Angaben in Nebensätze umzuformen, oder umgekehrt</w:t>
            </w:r>
            <w:r>
              <w:rPr>
                <w:rFonts w:hint="eastAsia"/>
                <w:bCs/>
                <w:szCs w:val="21"/>
                <w:lang w:val="de-DE"/>
              </w:rPr>
              <w:t>.</w:t>
            </w:r>
          </w:p>
          <w:p>
            <w:pPr>
              <w:pStyle w:val="3"/>
              <w:spacing w:after="0"/>
              <w:ind w:firstLine="525" w:firstLineChars="250"/>
              <w:rPr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 xml:space="preserve">2. Die Studenten sollen </w:t>
            </w: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(ent-, er-) beherrschen.</w:t>
            </w:r>
          </w:p>
          <w:p>
            <w:pPr>
              <w:tabs>
                <w:tab w:val="left" w:pos="7080"/>
              </w:tabs>
              <w:rPr>
                <w:lang w:val="de-DE"/>
              </w:rPr>
            </w:pPr>
            <w:r>
              <w:rPr>
                <w:lang w:val="de-DE"/>
              </w:rPr>
              <w:t xml:space="preserve">  </w:t>
            </w:r>
            <w:r>
              <w:rPr>
                <w:rFonts w:hint="eastAsia"/>
                <w:lang w:val="de-DE"/>
              </w:rPr>
              <w:t xml:space="preserve">   Praxis：</w:t>
            </w:r>
          </w:p>
          <w:p>
            <w:pPr>
              <w:pStyle w:val="3"/>
              <w:spacing w:after="0"/>
              <w:ind w:left="1365" w:leftChars="250" w:hanging="840" w:hangingChars="4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Umformen der Angaben</w:t>
            </w:r>
          </w:p>
          <w:p>
            <w:pPr>
              <w:pStyle w:val="3"/>
              <w:spacing w:after="0"/>
              <w:ind w:left="1365" w:leftChars="250" w:hanging="840" w:hangingChars="400"/>
              <w:rPr>
                <w:lang w:val="de-DE"/>
              </w:rPr>
            </w:pP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(ent-, er-)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熟练地掌握名词性目的、条件、让步和比例说明语与说明语从句之间的互换；了解</w:t>
            </w:r>
            <w:r>
              <w:rPr>
                <w:bCs/>
                <w:szCs w:val="21"/>
                <w:lang w:val="de-DE"/>
              </w:rPr>
              <w:t>不可分前缀(ent-, er-)的构词规律以及含义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500" w:type="dxa"/>
            <w:vAlign w:val="bottom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Angaben und </w:t>
            </w:r>
            <w:r>
              <w:rPr>
                <w:bCs/>
                <w:szCs w:val="21"/>
              </w:rPr>
              <w:t>untrennbaren Vorsilben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知识要点：</w:t>
            </w:r>
          </w:p>
          <w:p>
            <w:pPr>
              <w:ind w:left="420"/>
              <w:rPr>
                <w:szCs w:val="21"/>
              </w:rPr>
            </w:pPr>
            <w:r>
              <w:rPr>
                <w:szCs w:val="21"/>
              </w:rPr>
              <w:t>1)Adversativ</w:t>
            </w:r>
            <w:r>
              <w:rPr>
                <w:rFonts w:hint="eastAsia"/>
                <w:szCs w:val="21"/>
              </w:rPr>
              <w:t>-Angaben</w:t>
            </w:r>
            <w:r>
              <w:rPr>
                <w:szCs w:val="21"/>
              </w:rPr>
              <w:t>, Komitativ</w:t>
            </w:r>
            <w:r>
              <w:rPr>
                <w:rFonts w:hint="eastAsia"/>
                <w:szCs w:val="21"/>
              </w:rPr>
              <w:t>-Angaben</w:t>
            </w:r>
            <w:r>
              <w:rPr>
                <w:szCs w:val="21"/>
              </w:rPr>
              <w:t>, Modal-Angaben, Konsekutiv-Angaben und  Referenz-Angaben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2) Die </w:t>
            </w:r>
            <w:r>
              <w:rPr>
                <w:bCs/>
                <w:szCs w:val="21"/>
              </w:rPr>
              <w:t>untrennbaren Vorsilben (ver-, zer-)</w:t>
            </w:r>
          </w:p>
          <w:p>
            <w:pPr>
              <w:ind w:left="420"/>
              <w:rPr>
                <w:lang w:val="de-DE"/>
              </w:rPr>
            </w:pPr>
            <w:r>
              <w:rPr>
                <w:rFonts w:hint="eastAsia"/>
                <w:lang w:val="de-DE"/>
              </w:rPr>
              <w:t>Schwerpunkte：</w:t>
            </w:r>
          </w:p>
          <w:p>
            <w:pPr>
              <w:tabs>
                <w:tab w:val="left" w:pos="7080"/>
              </w:tabs>
              <w:ind w:firstLine="420" w:firstLineChars="20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>1. Die Studenten sollen</w:t>
            </w:r>
            <w:r>
              <w:rPr>
                <w:rFonts w:hint="eastAsia"/>
                <w:bCs/>
                <w:szCs w:val="21"/>
                <w:lang w:val="de-DE"/>
              </w:rPr>
              <w:t xml:space="preserve"> </w:t>
            </w:r>
            <w:r>
              <w:rPr>
                <w:bCs/>
                <w:szCs w:val="21"/>
                <w:lang w:val="de-DE"/>
              </w:rPr>
              <w:t>die nominale Angaben in Nebensätze umzuformen, oder umgekehrt</w:t>
            </w:r>
            <w:r>
              <w:rPr>
                <w:rFonts w:hint="eastAsia"/>
                <w:bCs/>
                <w:szCs w:val="21"/>
                <w:lang w:val="de-DE"/>
              </w:rPr>
              <w:t>.</w:t>
            </w:r>
          </w:p>
          <w:p>
            <w:pPr>
              <w:pStyle w:val="3"/>
              <w:spacing w:after="0"/>
              <w:ind w:firstLine="525" w:firstLineChars="250"/>
              <w:rPr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 xml:space="preserve">2. Die Studenten sollen </w:t>
            </w: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(ver-, zer-) beherrschen.</w:t>
            </w:r>
          </w:p>
          <w:p>
            <w:pPr>
              <w:ind w:left="420"/>
              <w:rPr>
                <w:lang w:val="de-DE"/>
              </w:rPr>
            </w:pPr>
            <w:r>
              <w:rPr>
                <w:rFonts w:hint="eastAsia"/>
                <w:lang w:val="de-DE"/>
              </w:rPr>
              <w:t>Praxis：</w:t>
            </w:r>
          </w:p>
          <w:p>
            <w:pPr>
              <w:pStyle w:val="3"/>
              <w:spacing w:after="0"/>
              <w:ind w:firstLine="420" w:firstLineChars="2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Umformen der Angaben</w:t>
            </w:r>
          </w:p>
          <w:p>
            <w:pPr>
              <w:ind w:left="420"/>
              <w:rPr>
                <w:lang w:val="de-DE"/>
              </w:rPr>
            </w:pPr>
            <w:r>
              <w:rPr>
                <w:szCs w:val="21"/>
                <w:lang w:val="de-DE"/>
              </w:rPr>
              <w:t xml:space="preserve">die </w:t>
            </w:r>
            <w:r>
              <w:rPr>
                <w:bCs/>
                <w:szCs w:val="21"/>
                <w:lang w:val="de-DE"/>
              </w:rPr>
              <w:t>untrennbaren Vorsilben (ver-, zer-)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熟练地掌握名词性相反、伴随、情状和引用说明语与说明语从句之间的互换；了解</w:t>
            </w:r>
            <w:r>
              <w:rPr>
                <w:bCs/>
                <w:szCs w:val="21"/>
                <w:lang w:val="de-DE"/>
              </w:rPr>
              <w:t>不可分前缀(ver-, zer-)的构词规律以及含义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center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</w:rPr>
              <w:t>2</w:t>
            </w:r>
            <w:r>
              <w:rPr>
                <w:rFonts w:hint="eastAsia" w:ascii="宋体"/>
                <w:szCs w:val="21"/>
              </w:rPr>
              <w:t>学时</w:t>
            </w: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500" w:type="dxa"/>
            <w:vAlign w:val="bottom"/>
          </w:tcPr>
          <w:p>
            <w:pPr>
              <w:ind w:left="42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Weitführende Nebensätze und Trennbare und untrennbare Vorsilben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知识要点：</w:t>
            </w:r>
          </w:p>
          <w:p>
            <w:pPr>
              <w:pStyle w:val="3"/>
              <w:numPr>
                <w:ilvl w:val="0"/>
                <w:numId w:val="4"/>
              </w:numPr>
              <w:spacing w:after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Weitführende Nebensätze 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2) die Trennbare und untrennbare Vorsilben(durch-, über-, um-, unter-, wider-)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Schwerpunkte：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 xml:space="preserve">1. </w:t>
            </w:r>
            <w:r>
              <w:rPr>
                <w:bCs/>
                <w:szCs w:val="21"/>
                <w:lang w:val="de-DE"/>
              </w:rPr>
              <w:t xml:space="preserve">Die Studenten sollen </w:t>
            </w:r>
            <w:r>
              <w:rPr>
                <w:szCs w:val="21"/>
                <w:lang w:val="de-DE"/>
              </w:rPr>
              <w:t>weiteführende Nebensätze als Ergänzungen und als Angaben kennenlernen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 xml:space="preserve">2. </w:t>
            </w:r>
            <w:r>
              <w:rPr>
                <w:bCs/>
                <w:szCs w:val="21"/>
                <w:lang w:val="de-DE"/>
              </w:rPr>
              <w:t xml:space="preserve">Die Studenten sollen </w:t>
            </w:r>
            <w:r>
              <w:rPr>
                <w:szCs w:val="21"/>
                <w:lang w:val="de-DE"/>
              </w:rPr>
              <w:t xml:space="preserve">die trennbaren und  </w:t>
            </w:r>
            <w:r>
              <w:rPr>
                <w:bCs/>
                <w:szCs w:val="21"/>
                <w:lang w:val="de-DE"/>
              </w:rPr>
              <w:t xml:space="preserve">untrennbaren Vorsilben </w:t>
            </w:r>
            <w:r>
              <w:rPr>
                <w:szCs w:val="21"/>
                <w:lang w:val="de-DE"/>
              </w:rPr>
              <w:t>(durch-, über-, um-, unter-, wider-)</w:t>
            </w:r>
            <w:r>
              <w:rPr>
                <w:rFonts w:hint="eastAsia"/>
                <w:szCs w:val="21"/>
                <w:lang w:val="de-DE"/>
              </w:rPr>
              <w:t xml:space="preserve"> </w:t>
            </w:r>
            <w:r>
              <w:rPr>
                <w:bCs/>
                <w:szCs w:val="21"/>
                <w:lang w:val="de-DE"/>
              </w:rPr>
              <w:t>beherrschen.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Praxis：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weiteführende Nebensätze als Ergänzungen und als Angaben </w:t>
            </w:r>
          </w:p>
          <w:p>
            <w:pPr>
              <w:ind w:left="420"/>
              <w:rPr>
                <w:lang w:val="de-DE"/>
              </w:rPr>
            </w:pPr>
            <w:r>
              <w:rPr>
                <w:szCs w:val="21"/>
                <w:lang w:val="de-DE"/>
              </w:rPr>
              <w:t>die Trennbare und untrennbare Vorsilben(durch-, über-, um-, unter-, wider-)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掌握扩展从句；了解可分和</w:t>
            </w:r>
            <w:r>
              <w:rPr>
                <w:bCs/>
                <w:szCs w:val="21"/>
                <w:lang w:val="de-DE"/>
              </w:rPr>
              <w:t>不可分前缀</w:t>
            </w:r>
            <w:r>
              <w:rPr>
                <w:szCs w:val="21"/>
                <w:lang w:val="de-DE"/>
              </w:rPr>
              <w:t>(durch-, über-, um-, unter-, wider-)</w:t>
            </w:r>
            <w:r>
              <w:rPr>
                <w:bCs/>
                <w:szCs w:val="21"/>
                <w:lang w:val="de-DE"/>
              </w:rPr>
              <w:t>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spacing w:line="324" w:lineRule="atLeast"/>
              <w:rPr>
                <w:rFonts w:ascii="宋体" w:hAnsi="宋体" w:cs="宋体"/>
                <w:b/>
                <w:kern w:val="0"/>
                <w:sz w:val="28"/>
                <w:szCs w:val="28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</w:t>
            </w:r>
            <w:r>
              <w:rPr>
                <w:rFonts w:hint="eastAsia" w:ascii="宋体"/>
                <w:szCs w:val="21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rPr>
                <w:rFonts w:ascii="宋体"/>
                <w:szCs w:val="21"/>
              </w:rPr>
            </w:pPr>
          </w:p>
          <w:p>
            <w:pPr>
              <w:snapToGrid w:val="0"/>
              <w:spacing w:before="60" w:beforeLines="25"/>
              <w:rPr>
                <w:rFonts w:ascii="宋体"/>
                <w:szCs w:val="21"/>
              </w:rPr>
            </w:pPr>
          </w:p>
          <w:p>
            <w:pPr>
              <w:snapToGrid w:val="0"/>
              <w:spacing w:before="60" w:beforeLines="25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500" w:type="dxa"/>
            <w:vAlign w:val="bottom"/>
          </w:tcPr>
          <w:p>
            <w:pPr>
              <w:rPr>
                <w:szCs w:val="21"/>
              </w:rPr>
            </w:pPr>
            <w:r>
              <w:rPr>
                <w:bCs/>
                <w:szCs w:val="21"/>
              </w:rPr>
              <w:t xml:space="preserve">    Attribute und Adjektive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知识要点：</w:t>
            </w:r>
          </w:p>
          <w:p>
            <w:pPr>
              <w:pStyle w:val="9"/>
              <w:numPr>
                <w:ilvl w:val="0"/>
                <w:numId w:val="5"/>
              </w:numPr>
              <w:ind w:firstLineChars="0"/>
              <w:rPr>
                <w:szCs w:val="21"/>
              </w:rPr>
            </w:pPr>
            <w:r>
              <w:rPr>
                <w:szCs w:val="21"/>
                <w:lang w:val="de-DE"/>
              </w:rPr>
              <w:t>Linksattribute und Rechtsattribute</w:t>
            </w:r>
          </w:p>
          <w:p>
            <w:pPr>
              <w:pStyle w:val="9"/>
              <w:numPr>
                <w:ilvl w:val="0"/>
                <w:numId w:val="5"/>
              </w:numPr>
              <w:ind w:firstLineChars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Endsilben (Adjektive mit -lich, -bar, -ig, -sam, -haft, -isch)</w:t>
            </w:r>
          </w:p>
          <w:p>
            <w:pPr>
              <w:tabs>
                <w:tab w:val="left" w:pos="7080"/>
              </w:tabs>
              <w:ind w:firstLine="420" w:firstLineChars="20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Schwerpunkte：</w:t>
            </w:r>
          </w:p>
          <w:p>
            <w:pPr>
              <w:ind w:left="420" w:leftChars="20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 xml:space="preserve">1. </w:t>
            </w:r>
            <w:r>
              <w:rPr>
                <w:szCs w:val="21"/>
                <w:lang w:val="de-DE"/>
              </w:rPr>
              <w:t>Die Studenten sollen Linksattribute und Rechtsattribute unterscheiden</w:t>
            </w:r>
          </w:p>
          <w:p>
            <w:pPr>
              <w:ind w:left="315" w:leftChars="150" w:firstLine="105" w:firstLineChars="5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 xml:space="preserve">2. </w:t>
            </w:r>
            <w:r>
              <w:rPr>
                <w:szCs w:val="21"/>
                <w:lang w:val="de-DE"/>
              </w:rPr>
              <w:t>Die Studenten sollen Endsilben (Adjektive mit -lich, -bar, -ig, -sam, -haft, -isch) beherrschen</w:t>
            </w:r>
          </w:p>
          <w:p>
            <w:pPr>
              <w:pStyle w:val="3"/>
              <w:spacing w:after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    </w:t>
            </w:r>
            <w:r>
              <w:rPr>
                <w:rFonts w:hint="eastAsia"/>
                <w:szCs w:val="21"/>
                <w:lang w:val="de-DE"/>
              </w:rPr>
              <w:t>Praxis：</w:t>
            </w:r>
          </w:p>
          <w:p>
            <w:pPr>
              <w:pStyle w:val="9"/>
              <w:ind w:left="464" w:leftChars="221" w:firstLine="0" w:firstLineChars="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verschiedene Arten von Attribute</w:t>
            </w:r>
          </w:p>
          <w:p>
            <w:pPr>
              <w:pStyle w:val="9"/>
              <w:ind w:left="464" w:leftChars="221" w:firstLine="0" w:firstLineChars="0"/>
              <w:rPr>
                <w:lang w:val="de-DE"/>
              </w:rPr>
            </w:pPr>
            <w:r>
              <w:rPr>
                <w:szCs w:val="21"/>
                <w:lang w:val="de-DE"/>
              </w:rPr>
              <w:t>Endsilben (Adjektive mit -lich, -bar, -ig, -sam, -haft, -isch)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 xml:space="preserve"> 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区分前置定语和</w:t>
            </w:r>
            <w:r>
              <w:t>后置定语</w:t>
            </w:r>
            <w:r>
              <w:rPr>
                <w:rFonts w:hint="eastAsia" w:ascii="宋体"/>
                <w:szCs w:val="21"/>
                <w:lang w:val="de-DE"/>
              </w:rPr>
              <w:t>；了解形容词词尾（</w:t>
            </w:r>
            <w:r>
              <w:rPr>
                <w:szCs w:val="21"/>
                <w:lang w:val="de-DE"/>
              </w:rPr>
              <w:t>-lich, -bar, -ig, -sam, -haft, -isch)</w:t>
            </w:r>
            <w:r>
              <w:rPr>
                <w:bCs/>
                <w:szCs w:val="21"/>
                <w:lang w:val="de-DE"/>
              </w:rPr>
              <w:t>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9</w:t>
            </w:r>
          </w:p>
        </w:tc>
        <w:tc>
          <w:tcPr>
            <w:tcW w:w="4500" w:type="dxa"/>
            <w:vAlign w:val="bottom"/>
          </w:tcPr>
          <w:p>
            <w:pPr>
              <w:ind w:left="42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>Attribute und Adjektive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</w:rPr>
              <w:t>知识要点</w:t>
            </w:r>
            <w:r>
              <w:rPr>
                <w:rFonts w:hint="eastAsia"/>
                <w:szCs w:val="21"/>
                <w:lang w:val="de-DE"/>
              </w:rPr>
              <w:t>：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1)</w:t>
            </w:r>
            <w:r>
              <w:rPr>
                <w:szCs w:val="21"/>
                <w:lang w:val="de-DE"/>
              </w:rPr>
              <w:t xml:space="preserve"> </w:t>
            </w:r>
            <w:r>
              <w:rPr>
                <w:rFonts w:hint="eastAsia"/>
                <w:szCs w:val="21"/>
                <w:lang w:val="de-DE"/>
              </w:rPr>
              <w:t>Um</w:t>
            </w:r>
            <w:r>
              <w:rPr>
                <w:szCs w:val="21"/>
                <w:lang w:val="de-DE"/>
              </w:rPr>
              <w:t xml:space="preserve">formen der </w:t>
            </w:r>
            <w:r>
              <w:rPr>
                <w:rFonts w:hint="eastAsia"/>
                <w:szCs w:val="21"/>
                <w:lang w:val="de-DE"/>
              </w:rPr>
              <w:t>Attribut</w:t>
            </w:r>
            <w:r>
              <w:rPr>
                <w:szCs w:val="21"/>
                <w:lang w:val="de-DE"/>
              </w:rPr>
              <w:t>en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2)</w:t>
            </w:r>
            <w:r>
              <w:rPr>
                <w:szCs w:val="21"/>
                <w:lang w:val="de-DE"/>
              </w:rPr>
              <w:t xml:space="preserve"> Endsilben (Adjektive mit –n/en, -ern), Halbaffixe (-los, -mäßig, -reich)   und Präfix( un-, ur-, ge-, super- )</w:t>
            </w:r>
          </w:p>
          <w:p>
            <w:pPr>
              <w:tabs>
                <w:tab w:val="left" w:pos="7080"/>
              </w:tabs>
              <w:ind w:firstLine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Schwerpunkte：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 xml:space="preserve">1. </w:t>
            </w:r>
            <w:r>
              <w:rPr>
                <w:szCs w:val="21"/>
                <w:lang w:val="de-DE"/>
              </w:rPr>
              <w:t>Die Studenten können Attribute in Relativsätze umformen, oder umgekehrt.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 xml:space="preserve">2. </w:t>
            </w:r>
            <w:r>
              <w:rPr>
                <w:szCs w:val="21"/>
                <w:lang w:val="de-DE"/>
              </w:rPr>
              <w:t>Die Studenten sollen Endsilben (Adjektive mit –n/en, -ern), Halbaffixe (-los, -mäßig, -reich) und Präfix( un-, ur-, ge-, super-) beherrschen</w:t>
            </w:r>
          </w:p>
          <w:p>
            <w:pPr>
              <w:pStyle w:val="3"/>
              <w:spacing w:after="0"/>
              <w:rPr>
                <w:lang w:val="de-DE"/>
              </w:rPr>
            </w:pPr>
            <w:r>
              <w:rPr>
                <w:lang w:val="de-DE"/>
              </w:rPr>
              <w:t xml:space="preserve">    </w:t>
            </w:r>
            <w:r>
              <w:rPr>
                <w:rFonts w:hint="eastAsia"/>
                <w:lang w:val="de-DE"/>
              </w:rPr>
              <w:t>Praxis：</w:t>
            </w:r>
          </w:p>
          <w:p>
            <w:pPr>
              <w:ind w:left="420" w:hanging="420" w:hangingChars="200"/>
              <w:rPr>
                <w:lang w:val="de-DE"/>
              </w:rPr>
            </w:pPr>
            <w:r>
              <w:rPr>
                <w:lang w:val="de-DE"/>
              </w:rPr>
              <w:t xml:space="preserve">    Infinitivsätze, dass-Sätze und indirekte Fragesätze als Attribute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熟练掌握定语和关系从句之间的互换</w:t>
            </w:r>
            <w:r>
              <w:rPr>
                <w:rFonts w:hint="eastAsia" w:ascii="宋体"/>
                <w:szCs w:val="21"/>
                <w:lang w:val="de-DE"/>
              </w:rPr>
              <w:t>；了解形容词词尾</w:t>
            </w:r>
            <w:r>
              <w:rPr>
                <w:szCs w:val="21"/>
                <w:lang w:val="de-DE"/>
              </w:rPr>
              <w:t>(–n/en, -ern</w:t>
            </w:r>
            <w:r>
              <w:rPr>
                <w:rFonts w:hint="eastAsia"/>
                <w:szCs w:val="21"/>
                <w:lang w:val="de-DE"/>
              </w:rPr>
              <w:t>，</w:t>
            </w:r>
            <w:r>
              <w:rPr>
                <w:szCs w:val="21"/>
                <w:lang w:val="de-DE"/>
              </w:rPr>
              <w:t xml:space="preserve"> -los, -mäßig, -reich)以及前缀( un-, ur-, ge-, super-)</w:t>
            </w:r>
            <w:r>
              <w:rPr>
                <w:bCs/>
                <w:szCs w:val="21"/>
                <w:lang w:val="de-DE"/>
              </w:rPr>
              <w:t>的构词规律以及含义</w:t>
            </w:r>
            <w:r>
              <w:rPr>
                <w:rFonts w:hint="eastAsia"/>
                <w:bCs/>
                <w:szCs w:val="21"/>
                <w:lang w:val="de-DE"/>
              </w:rPr>
              <w:t>；</w:t>
            </w:r>
            <w:r>
              <w:rPr>
                <w:bCs/>
                <w:szCs w:val="21"/>
                <w:lang w:val="de-DE"/>
              </w:rPr>
              <w:t>重点动词的解析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500" w:type="dxa"/>
            <w:vAlign w:val="bottom"/>
          </w:tcPr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KII</w:t>
            </w:r>
            <w:r>
              <w:rPr>
                <w:szCs w:val="21"/>
              </w:rPr>
              <w:t xml:space="preserve"> und Synonyme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知识要点：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1)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Formen </w:t>
            </w:r>
            <w:r>
              <w:rPr>
                <w:szCs w:val="21"/>
              </w:rPr>
              <w:t xml:space="preserve">und </w:t>
            </w:r>
            <w:r>
              <w:rPr>
                <w:rFonts w:hint="eastAsia"/>
                <w:szCs w:val="21"/>
              </w:rPr>
              <w:t>Verwendung von KII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2) </w:t>
            </w:r>
            <w:r>
              <w:rPr>
                <w:szCs w:val="21"/>
              </w:rPr>
              <w:t>Synonyme (ganz, klug, Fremdwort und Übertreibungen)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Schwerpunkte</w:t>
            </w:r>
            <w:r>
              <w:rPr>
                <w:szCs w:val="21"/>
              </w:rPr>
              <w:t>:</w:t>
            </w:r>
          </w:p>
          <w:p>
            <w:pPr>
              <w:tabs>
                <w:tab w:val="left" w:pos="7080"/>
              </w:tabs>
              <w:ind w:left="42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>
              <w:rPr>
                <w:bCs/>
                <w:szCs w:val="21"/>
              </w:rPr>
              <w:t xml:space="preserve"> Die Studenten sollen </w:t>
            </w:r>
            <w:r>
              <w:rPr>
                <w:rFonts w:hint="eastAsia"/>
                <w:bCs/>
                <w:szCs w:val="21"/>
              </w:rPr>
              <w:t>KII richtig verwenden</w:t>
            </w:r>
            <w:r>
              <w:rPr>
                <w:bCs/>
                <w:szCs w:val="21"/>
              </w:rPr>
              <w:t>.</w:t>
            </w:r>
          </w:p>
          <w:p>
            <w:pPr>
              <w:tabs>
                <w:tab w:val="left" w:pos="7080"/>
              </w:tabs>
              <w:ind w:left="420"/>
              <w:rPr>
                <w:bCs/>
                <w:szCs w:val="21"/>
                <w:lang w:val="de-DE"/>
              </w:rPr>
            </w:pPr>
            <w:r>
              <w:rPr>
                <w:bCs/>
                <w:szCs w:val="21"/>
                <w:lang w:val="de-DE"/>
              </w:rPr>
              <w:t xml:space="preserve">2. Die Studenten sollen </w:t>
            </w:r>
            <w:r>
              <w:rPr>
                <w:szCs w:val="21"/>
                <w:lang w:val="de-DE"/>
              </w:rPr>
              <w:t>Synonyme (ganz, klug, Fremdwort und Übertreibungen) beherrschen</w:t>
            </w:r>
          </w:p>
          <w:p>
            <w:pPr>
              <w:ind w:left="420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Praxis：</w:t>
            </w:r>
          </w:p>
          <w:p>
            <w:pPr>
              <w:ind w:firstLine="420" w:firstLineChars="20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irreale Konditionalsätze</w:t>
            </w:r>
          </w:p>
          <w:p>
            <w:pPr>
              <w:ind w:firstLine="420" w:firstLineChars="20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irreale Vergleichssätze</w:t>
            </w:r>
          </w:p>
          <w:p>
            <w:pPr>
              <w:ind w:firstLine="420" w:firstLineChars="200"/>
              <w:rPr>
                <w:lang w:val="de-DE"/>
              </w:rPr>
            </w:pPr>
            <w:r>
              <w:rPr>
                <w:szCs w:val="21"/>
                <w:lang w:val="de-DE"/>
              </w:rPr>
              <w:t>„negative“ Konsekutivsätze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掌握第二虚拟式的形式，正确使用第二虚拟式的句型;</w:t>
            </w:r>
            <w:r>
              <w:rPr>
                <w:rFonts w:ascii="宋体"/>
                <w:szCs w:val="21"/>
                <w:lang w:val="de-DE"/>
              </w:rPr>
              <w:t>了解</w:t>
            </w:r>
            <w:r>
              <w:rPr>
                <w:szCs w:val="21"/>
                <w:lang w:val="de-DE"/>
              </w:rPr>
              <w:t>(ganz, klug, Fremdwort und Übertreibungen)含义的同义词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11</w:t>
            </w:r>
          </w:p>
        </w:tc>
        <w:tc>
          <w:tcPr>
            <w:tcW w:w="4500" w:type="dxa"/>
            <w:vAlign w:val="bottom"/>
          </w:tcPr>
          <w:p>
            <w:pPr>
              <w:rPr>
                <w:lang w:val="de-DE"/>
              </w:rPr>
            </w:pPr>
            <w:r>
              <w:rPr>
                <w:rFonts w:ascii="宋体" w:hAnsi="宋体"/>
                <w:b/>
                <w:szCs w:val="21"/>
                <w:lang w:val="de-DE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  <w:lang w:val="de-DE"/>
              </w:rPr>
              <w:t xml:space="preserve">   </w:t>
            </w:r>
            <w:r>
              <w:rPr>
                <w:rFonts w:hint="eastAsia"/>
                <w:lang w:val="de-DE"/>
              </w:rPr>
              <w:t>KI</w:t>
            </w:r>
            <w:r>
              <w:rPr>
                <w:lang w:val="de-DE"/>
              </w:rPr>
              <w:t xml:space="preserve"> </w:t>
            </w:r>
            <w:r>
              <w:rPr>
                <w:szCs w:val="21"/>
                <w:lang w:val="de-DE"/>
              </w:rPr>
              <w:t>und Synonyme</w:t>
            </w:r>
          </w:p>
          <w:p>
            <w:pPr>
              <w:ind w:firstLine="420"/>
              <w:rPr>
                <w:lang w:val="de-DE"/>
              </w:rPr>
            </w:pPr>
            <w:r>
              <w:rPr>
                <w:rFonts w:hint="eastAsia"/>
              </w:rPr>
              <w:t>知识要点</w:t>
            </w:r>
            <w:r>
              <w:rPr>
                <w:rFonts w:hint="eastAsia"/>
                <w:lang w:val="de-DE"/>
              </w:rPr>
              <w:t>：</w:t>
            </w:r>
          </w:p>
          <w:p>
            <w:pPr>
              <w:pStyle w:val="3"/>
              <w:spacing w:after="0"/>
              <w:ind w:firstLine="420" w:firstLineChars="200"/>
              <w:rPr>
                <w:lang w:val="de-DE"/>
              </w:rPr>
            </w:pPr>
            <w:r>
              <w:rPr>
                <w:rFonts w:hint="eastAsia"/>
                <w:lang w:val="de-DE"/>
              </w:rPr>
              <w:t>1)</w:t>
            </w:r>
            <w:r>
              <w:rPr>
                <w:lang w:val="de-DE"/>
              </w:rPr>
              <w:t xml:space="preserve"> </w:t>
            </w:r>
            <w:r>
              <w:rPr>
                <w:rFonts w:hint="eastAsia"/>
                <w:lang w:val="de-DE"/>
              </w:rPr>
              <w:t>Formen und Verwendung von KI</w:t>
            </w:r>
          </w:p>
          <w:p>
            <w:pPr>
              <w:pStyle w:val="3"/>
              <w:spacing w:after="0"/>
              <w:ind w:firstLine="420" w:firstLineChars="200"/>
              <w:rPr>
                <w:lang w:val="de-DE"/>
              </w:rPr>
            </w:pPr>
            <w:r>
              <w:rPr>
                <w:rFonts w:hint="eastAsia"/>
                <w:lang w:val="de-DE"/>
              </w:rPr>
              <w:t xml:space="preserve">2) </w:t>
            </w:r>
            <w:r>
              <w:rPr>
                <w:lang w:val="de-DE"/>
              </w:rPr>
              <w:t>Verben mit dem gleichen Wortstamm</w:t>
            </w:r>
          </w:p>
          <w:p>
            <w:pPr>
              <w:ind w:left="420"/>
              <w:rPr>
                <w:lang w:val="de-DE"/>
              </w:rPr>
            </w:pPr>
            <w:r>
              <w:rPr>
                <w:rFonts w:hint="eastAsia"/>
                <w:lang w:val="de-DE"/>
              </w:rPr>
              <w:t>Schwerpunkte</w:t>
            </w:r>
            <w:r>
              <w:rPr>
                <w:lang w:val="de-DE"/>
              </w:rPr>
              <w:t>: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1.</w:t>
            </w:r>
            <w:r>
              <w:rPr>
                <w:bCs/>
                <w:szCs w:val="21"/>
                <w:lang w:val="de-DE"/>
              </w:rPr>
              <w:t>Die Studenten sollen</w:t>
            </w:r>
            <w:r>
              <w:rPr>
                <w:rFonts w:hint="eastAsia"/>
                <w:bCs/>
                <w:szCs w:val="21"/>
                <w:lang w:val="de-DE"/>
              </w:rPr>
              <w:t xml:space="preserve"> die Formen von KI beherrschen</w:t>
            </w:r>
            <w:r>
              <w:rPr>
                <w:bCs/>
                <w:szCs w:val="21"/>
                <w:lang w:val="de-DE"/>
              </w:rPr>
              <w:t>.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2.</w:t>
            </w:r>
            <w:r>
              <w:rPr>
                <w:bCs/>
                <w:szCs w:val="21"/>
                <w:lang w:val="de-DE"/>
              </w:rPr>
              <w:t xml:space="preserve">Die Studenten sollen </w:t>
            </w:r>
            <w:r>
              <w:rPr>
                <w:rFonts w:hint="eastAsia"/>
                <w:bCs/>
                <w:szCs w:val="21"/>
                <w:lang w:val="de-DE"/>
              </w:rPr>
              <w:t>KI richtig verwenden</w:t>
            </w:r>
            <w:r>
              <w:rPr>
                <w:bCs/>
                <w:szCs w:val="21"/>
                <w:lang w:val="de-DE"/>
              </w:rPr>
              <w:t>.</w:t>
            </w:r>
          </w:p>
          <w:p>
            <w:pPr>
              <w:tabs>
                <w:tab w:val="left" w:pos="7080"/>
              </w:tabs>
              <w:rPr>
                <w:lang w:val="de-DE"/>
              </w:rPr>
            </w:pPr>
            <w:r>
              <w:rPr>
                <w:lang w:val="de-DE"/>
              </w:rPr>
              <w:t xml:space="preserve">  </w:t>
            </w:r>
            <w:r>
              <w:rPr>
                <w:rFonts w:hint="eastAsia"/>
                <w:lang w:val="de-DE"/>
              </w:rPr>
              <w:t xml:space="preserve">  Praxis：</w:t>
            </w:r>
          </w:p>
          <w:p>
            <w:pPr>
              <w:pStyle w:val="3"/>
              <w:spacing w:after="0"/>
              <w:ind w:left="1365" w:leftChars="200" w:hanging="945" w:hangingChars="450"/>
              <w:rPr>
                <w:lang w:val="de-DE"/>
              </w:rPr>
            </w:pPr>
            <w:r>
              <w:rPr>
                <w:lang w:val="de-DE"/>
              </w:rPr>
              <w:t>KI in der indirekten Rede</w:t>
            </w:r>
          </w:p>
        </w:tc>
        <w:tc>
          <w:tcPr>
            <w:tcW w:w="2700" w:type="dxa"/>
            <w:vAlign w:val="bottom"/>
          </w:tcPr>
          <w:p>
            <w:r>
              <w:rPr>
                <w:rFonts w:hint="eastAsia" w:ascii="宋体"/>
                <w:szCs w:val="21"/>
                <w:lang w:val="de-DE"/>
              </w:rPr>
              <w:t>掌握第一虚拟式的形式，正确使用第一虚拟式的句型;强化练习八级大纲中常见的同源异形</w:t>
            </w:r>
            <w:r>
              <w:rPr>
                <w:rFonts w:hint="eastAsia"/>
              </w:rPr>
              <w:t>词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00" w:type="dxa"/>
            <w:vAlign w:val="bottom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Modalverben und </w:t>
            </w:r>
            <w:r>
              <w:rPr>
                <w:rFonts w:hint="eastAsia"/>
                <w:szCs w:val="21"/>
              </w:rPr>
              <w:t xml:space="preserve">Redewendungen </w:t>
            </w:r>
          </w:p>
          <w:p>
            <w:pPr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知识要点：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1)</w:t>
            </w:r>
            <w:r>
              <w:rPr>
                <w:szCs w:val="21"/>
              </w:rPr>
              <w:t xml:space="preserve">  Objektiver und Subjektiver Gebrauch von Modalverben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2)</w:t>
            </w:r>
            <w:r>
              <w:rPr>
                <w:szCs w:val="21"/>
              </w:rPr>
              <w:t xml:space="preserve"> idomatische Redewendungen mit </w:t>
            </w:r>
            <w:r>
              <w:rPr>
                <w:rFonts w:hint="eastAsia"/>
                <w:szCs w:val="21"/>
              </w:rPr>
              <w:t>Kleidungsst</w:t>
            </w:r>
            <w:r>
              <w:rPr>
                <w:szCs w:val="21"/>
              </w:rPr>
              <w:t>ücken und Farben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Schwerpunkte</w:t>
            </w:r>
            <w:r>
              <w:rPr>
                <w:szCs w:val="21"/>
              </w:rPr>
              <w:t>: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1.</w:t>
            </w:r>
            <w:r>
              <w:rPr>
                <w:bCs/>
                <w:szCs w:val="21"/>
                <w:lang w:val="de-DE"/>
              </w:rPr>
              <w:t>Die Studenten sollen</w:t>
            </w:r>
            <w:r>
              <w:rPr>
                <w:rFonts w:hint="eastAsia"/>
                <w:bCs/>
                <w:szCs w:val="21"/>
                <w:lang w:val="de-DE"/>
              </w:rPr>
              <w:t xml:space="preserve"> </w:t>
            </w:r>
            <w:r>
              <w:rPr>
                <w:szCs w:val="21"/>
                <w:lang w:val="de-DE"/>
              </w:rPr>
              <w:t>objektiven und subjektiven Gebrauch von Modalverben unterscheiden</w:t>
            </w:r>
            <w:r>
              <w:rPr>
                <w:bCs/>
                <w:szCs w:val="21"/>
                <w:lang w:val="de-DE"/>
              </w:rPr>
              <w:t>.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2.</w:t>
            </w:r>
            <w:r>
              <w:rPr>
                <w:bCs/>
                <w:szCs w:val="21"/>
                <w:lang w:val="de-DE"/>
              </w:rPr>
              <w:t>Die Studenten sollen die wichtigen idomatischen Redewendungen mit</w:t>
            </w:r>
            <w:r>
              <w:rPr>
                <w:rFonts w:hint="eastAsia"/>
                <w:szCs w:val="21"/>
                <w:lang w:val="de-DE"/>
              </w:rPr>
              <w:t xml:space="preserve"> Kleidungsst</w:t>
            </w:r>
            <w:r>
              <w:rPr>
                <w:szCs w:val="21"/>
                <w:lang w:val="de-DE"/>
              </w:rPr>
              <w:t>ücken und Farben</w:t>
            </w:r>
            <w:r>
              <w:rPr>
                <w:bCs/>
                <w:szCs w:val="21"/>
                <w:lang w:val="de-DE"/>
              </w:rPr>
              <w:t xml:space="preserve">   auswendig lernen.</w:t>
            </w:r>
          </w:p>
          <w:p>
            <w:pPr>
              <w:tabs>
                <w:tab w:val="left" w:pos="7080"/>
              </w:tabs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  </w:t>
            </w:r>
            <w:r>
              <w:rPr>
                <w:rFonts w:hint="eastAsia"/>
                <w:szCs w:val="21"/>
                <w:lang w:val="de-DE"/>
              </w:rPr>
              <w:t xml:space="preserve">  Praxis：</w:t>
            </w:r>
          </w:p>
          <w:p>
            <w:pPr>
              <w:tabs>
                <w:tab w:val="left" w:pos="7080"/>
              </w:tabs>
              <w:ind w:firstLine="420" w:firstLineChars="20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Wiedergabe einer nicht überprüften Information bzw. eines Gerüchts</w:t>
            </w:r>
          </w:p>
          <w:p>
            <w:pPr>
              <w:tabs>
                <w:tab w:val="left" w:pos="7080"/>
              </w:tabs>
              <w:ind w:firstLine="420" w:firstLineChars="20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Wiedergabe einer Behauptung, die jd über sich selbst aufstellt   </w:t>
            </w:r>
          </w:p>
          <w:p>
            <w:pPr>
              <w:ind w:firstLine="420"/>
              <w:rPr>
                <w:rFonts w:ascii="方正姚体" w:hAnsi="宋体" w:eastAsia="方正姚体"/>
                <w:b/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Modalitätsverben </w:t>
            </w:r>
            <w:r>
              <w:rPr>
                <w:sz w:val="24"/>
                <w:lang w:val="de-DE"/>
              </w:rPr>
              <w:t xml:space="preserve"> 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掌握情态动词的客观和主观用法；</w:t>
            </w:r>
            <w:r>
              <w:rPr>
                <w:rFonts w:ascii="宋体"/>
                <w:szCs w:val="21"/>
                <w:lang w:val="de-DE"/>
              </w:rPr>
              <w:t>强化练习与服饰和颜色相关的</w:t>
            </w:r>
            <w:r>
              <w:rPr>
                <w:rFonts w:hint="eastAsia" w:ascii="宋体"/>
                <w:szCs w:val="21"/>
                <w:lang w:val="de-DE"/>
              </w:rPr>
              <w:t>俗语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500" w:type="dxa"/>
            <w:vAlign w:val="bottom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 xml:space="preserve">Passiv und </w:t>
            </w:r>
            <w:r>
              <w:rPr>
                <w:rFonts w:hint="eastAsia"/>
                <w:szCs w:val="21"/>
              </w:rPr>
              <w:t xml:space="preserve">Redewendungen </w:t>
            </w:r>
          </w:p>
          <w:p>
            <w:pPr>
              <w:ind w:firstLine="420"/>
            </w:pPr>
            <w:r>
              <w:rPr>
                <w:rFonts w:hint="eastAsia"/>
              </w:rPr>
              <w:t>知识要点：</w:t>
            </w:r>
          </w:p>
          <w:p>
            <w:pPr>
              <w:pStyle w:val="3"/>
              <w:spacing w:after="0"/>
              <w:ind w:firstLine="420" w:firstLineChars="200"/>
            </w:pPr>
            <w:r>
              <w:rPr>
                <w:rFonts w:hint="eastAsia"/>
              </w:rPr>
              <w:t>1)</w:t>
            </w:r>
            <w:r>
              <w:t xml:space="preserve"> Formen und Verwendung von Passiv</w:t>
            </w:r>
          </w:p>
          <w:p>
            <w:pPr>
              <w:pStyle w:val="3"/>
              <w:spacing w:after="0"/>
              <w:ind w:firstLine="420" w:firstLineChars="200"/>
            </w:pPr>
            <w:r>
              <w:rPr>
                <w:rFonts w:hint="eastAsia"/>
              </w:rPr>
              <w:t xml:space="preserve">2) </w:t>
            </w:r>
            <w:r>
              <w:rPr>
                <w:szCs w:val="21"/>
              </w:rPr>
              <w:t xml:space="preserve">idomatische Redewendungen mit </w:t>
            </w:r>
            <w:r>
              <w:rPr>
                <w:rFonts w:hint="eastAsia"/>
                <w:szCs w:val="21"/>
              </w:rPr>
              <w:t>K</w:t>
            </w:r>
            <w:r>
              <w:rPr>
                <w:szCs w:val="21"/>
              </w:rPr>
              <w:t>opf und Körperteilen</w:t>
            </w:r>
          </w:p>
          <w:p>
            <w:pPr>
              <w:ind w:left="420"/>
            </w:pPr>
            <w:r>
              <w:rPr>
                <w:rFonts w:hint="eastAsia"/>
              </w:rPr>
              <w:t>Schwerpunkte</w:t>
            </w:r>
            <w:r>
              <w:t>: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>
              <w:rPr>
                <w:bCs/>
                <w:szCs w:val="21"/>
              </w:rPr>
              <w:t xml:space="preserve"> Die Studenten </w:t>
            </w:r>
            <w:r>
              <w:rPr>
                <w:rFonts w:hint="eastAsia"/>
                <w:bCs/>
                <w:szCs w:val="21"/>
              </w:rPr>
              <w:t xml:space="preserve">können Passiv </w:t>
            </w:r>
            <w:r>
              <w:rPr>
                <w:bCs/>
                <w:szCs w:val="21"/>
              </w:rPr>
              <w:t>richtig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bCs/>
                <w:szCs w:val="21"/>
              </w:rPr>
              <w:t>verwenden.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2.</w:t>
            </w:r>
            <w:r>
              <w:rPr>
                <w:bCs/>
                <w:szCs w:val="21"/>
                <w:lang w:val="de-DE"/>
              </w:rPr>
              <w:t xml:space="preserve"> Die Studenten sollen die wichtigen idomatischen Redewendungen mit</w:t>
            </w:r>
            <w:r>
              <w:rPr>
                <w:rFonts w:hint="eastAsia"/>
                <w:szCs w:val="21"/>
                <w:lang w:val="de-DE"/>
              </w:rPr>
              <w:t xml:space="preserve"> K</w:t>
            </w:r>
            <w:r>
              <w:rPr>
                <w:szCs w:val="21"/>
                <w:lang w:val="de-DE"/>
              </w:rPr>
              <w:t>opf und Körperteilen</w:t>
            </w:r>
            <w:r>
              <w:rPr>
                <w:bCs/>
                <w:szCs w:val="21"/>
                <w:lang w:val="de-DE"/>
              </w:rPr>
              <w:t xml:space="preserve"> auswendig lernen.</w:t>
            </w:r>
          </w:p>
          <w:p>
            <w:pPr>
              <w:tabs>
                <w:tab w:val="left" w:pos="7080"/>
              </w:tabs>
              <w:rPr>
                <w:lang w:val="de-DE"/>
              </w:rPr>
            </w:pPr>
            <w:r>
              <w:rPr>
                <w:lang w:val="de-DE"/>
              </w:rPr>
              <w:t xml:space="preserve">  </w:t>
            </w:r>
            <w:r>
              <w:rPr>
                <w:rFonts w:hint="eastAsia"/>
                <w:lang w:val="de-DE"/>
              </w:rPr>
              <w:t xml:space="preserve">  Praxis：</w:t>
            </w:r>
          </w:p>
          <w:p>
            <w:pPr>
              <w:pStyle w:val="3"/>
              <w:spacing w:after="0"/>
              <w:ind w:left="1365" w:hanging="1365" w:hangingChars="650"/>
              <w:rPr>
                <w:lang w:val="de-DE"/>
              </w:rPr>
            </w:pPr>
            <w:r>
              <w:rPr>
                <w:lang w:val="de-DE"/>
              </w:rPr>
              <w:t xml:space="preserve">    </w:t>
            </w:r>
            <w:r>
              <w:rPr>
                <w:bCs/>
                <w:szCs w:val="21"/>
                <w:lang w:val="de-DE"/>
              </w:rPr>
              <w:t>Ersatzformen der Passiv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掌握被动态的用法和替换形式；</w:t>
            </w:r>
            <w:r>
              <w:rPr>
                <w:rFonts w:ascii="宋体"/>
                <w:szCs w:val="21"/>
                <w:lang w:val="de-DE"/>
              </w:rPr>
              <w:t>强化练习</w:t>
            </w:r>
            <w:r>
              <w:rPr>
                <w:rFonts w:hint="eastAsia" w:ascii="宋体"/>
                <w:szCs w:val="21"/>
                <w:lang w:val="de-DE"/>
              </w:rPr>
              <w:t>与</w:t>
            </w:r>
            <w:r>
              <w:rPr>
                <w:rFonts w:ascii="宋体"/>
                <w:szCs w:val="21"/>
                <w:lang w:val="de-DE"/>
              </w:rPr>
              <w:t>头以及身体部分相关的</w:t>
            </w:r>
            <w:r>
              <w:rPr>
                <w:rFonts w:hint="eastAsia" w:ascii="宋体"/>
                <w:szCs w:val="21"/>
                <w:lang w:val="de-DE"/>
              </w:rPr>
              <w:t>俗语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ascii="宋体"/>
                <w:szCs w:val="21"/>
                <w:lang w:val="de-DE"/>
              </w:rPr>
              <w:t>2</w:t>
            </w:r>
            <w:r>
              <w:rPr>
                <w:rFonts w:hint="eastAsia" w:ascii="宋体"/>
                <w:szCs w:val="21"/>
                <w:lang w:val="de-DE"/>
              </w:rPr>
              <w:t>学时（其中实践1学时）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4500" w:type="dxa"/>
            <w:vAlign w:val="bottom"/>
          </w:tcPr>
          <w:p>
            <w:pPr>
              <w:ind w:left="420" w:leftChars="200"/>
              <w:rPr>
                <w:szCs w:val="21"/>
              </w:rPr>
            </w:pPr>
            <w:r>
              <w:rPr>
                <w:szCs w:val="21"/>
              </w:rPr>
              <w:t>Infinitive und Partizipkonstruktion und Redewendungen</w:t>
            </w:r>
          </w:p>
          <w:p>
            <w:pPr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知识要点：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1)</w:t>
            </w:r>
            <w:r>
              <w:rPr>
                <w:szCs w:val="21"/>
              </w:rPr>
              <w:t xml:space="preserve"> Infinitiv I und II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) PI und PII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3) Redewendungen mit Tieren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Schwerpunkte</w:t>
            </w:r>
            <w:r>
              <w:rPr>
                <w:szCs w:val="21"/>
              </w:rPr>
              <w:t>: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>
              <w:rPr>
                <w:bCs/>
                <w:szCs w:val="21"/>
              </w:rPr>
              <w:t xml:space="preserve">  Die Studenten sollen </w:t>
            </w:r>
            <w:r>
              <w:rPr>
                <w:szCs w:val="21"/>
              </w:rPr>
              <w:t>Infinitiv I und II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PI und PII beherrschen</w:t>
            </w:r>
            <w:r>
              <w:rPr>
                <w:bCs/>
                <w:szCs w:val="21"/>
              </w:rPr>
              <w:t>.</w:t>
            </w:r>
          </w:p>
          <w:p>
            <w:pPr>
              <w:tabs>
                <w:tab w:val="left" w:pos="7080"/>
              </w:tabs>
              <w:ind w:left="420" w:leftChars="200"/>
              <w:rPr>
                <w:szCs w:val="21"/>
                <w:lang w:val="de-DE"/>
              </w:rPr>
            </w:pPr>
            <w:r>
              <w:rPr>
                <w:rFonts w:hint="eastAsia"/>
                <w:bCs/>
                <w:szCs w:val="21"/>
                <w:lang w:val="de-DE"/>
              </w:rPr>
              <w:t>2.</w:t>
            </w:r>
            <w:r>
              <w:rPr>
                <w:bCs/>
                <w:szCs w:val="21"/>
                <w:lang w:val="de-DE"/>
              </w:rPr>
              <w:t xml:space="preserve"> Die Studenten sollen die wichtigen idomatischen Redewendungen mit</w:t>
            </w:r>
            <w:r>
              <w:rPr>
                <w:rFonts w:hint="eastAsia"/>
                <w:szCs w:val="21"/>
                <w:lang w:val="de-DE"/>
              </w:rPr>
              <w:t xml:space="preserve"> </w:t>
            </w:r>
            <w:r>
              <w:rPr>
                <w:szCs w:val="21"/>
                <w:lang w:val="de-DE"/>
              </w:rPr>
              <w:t xml:space="preserve">Tieren </w:t>
            </w:r>
            <w:r>
              <w:rPr>
                <w:bCs/>
                <w:szCs w:val="21"/>
                <w:lang w:val="de-DE"/>
              </w:rPr>
              <w:t>auswendig lernen.</w:t>
            </w:r>
          </w:p>
          <w:p>
            <w:pPr>
              <w:tabs>
                <w:tab w:val="left" w:pos="7080"/>
              </w:tabs>
              <w:ind w:firstLine="435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Praxis：</w:t>
            </w:r>
          </w:p>
          <w:p>
            <w:pPr>
              <w:tabs>
                <w:tab w:val="left" w:pos="7080"/>
              </w:tabs>
              <w:ind w:firstLine="435"/>
              <w:rPr>
                <w:szCs w:val="21"/>
                <w:lang w:val="de-DE"/>
              </w:rPr>
            </w:pPr>
            <w:r>
              <w:rPr>
                <w:rFonts w:hint="eastAsia"/>
                <w:szCs w:val="21"/>
                <w:lang w:val="de-DE"/>
              </w:rPr>
              <w:t>Infinitiv mit zu</w:t>
            </w:r>
          </w:p>
          <w:p>
            <w:pPr>
              <w:tabs>
                <w:tab w:val="left" w:pos="7080"/>
              </w:tabs>
              <w:ind w:firstLine="435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Relativsatz </w:t>
            </w:r>
            <w:r>
              <w:rPr>
                <w:rFonts w:ascii="Cambria Math" w:hAnsi="Cambria Math" w:cs="Cambria Math"/>
                <w:szCs w:val="21"/>
                <w:lang w:val="de-DE"/>
              </w:rPr>
              <w:t>⟶</w:t>
            </w:r>
            <w:r>
              <w:rPr>
                <w:szCs w:val="21"/>
                <w:lang w:val="de-DE"/>
              </w:rPr>
              <w:t>ein erweitertes Attribut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掌握第一不定式与第二不定式以及第一分词与第二分词的用法；</w:t>
            </w:r>
            <w:r>
              <w:rPr>
                <w:rFonts w:ascii="宋体"/>
                <w:szCs w:val="21"/>
                <w:lang w:val="de-DE"/>
              </w:rPr>
              <w:t>强化练习</w:t>
            </w:r>
            <w:r>
              <w:rPr>
                <w:rFonts w:hint="eastAsia" w:ascii="宋体"/>
                <w:szCs w:val="21"/>
                <w:lang w:val="de-DE"/>
              </w:rPr>
              <w:t>与</w:t>
            </w:r>
            <w:r>
              <w:rPr>
                <w:rFonts w:ascii="宋体"/>
                <w:szCs w:val="21"/>
                <w:lang w:val="de-DE"/>
              </w:rPr>
              <w:t>动物相关的</w:t>
            </w:r>
            <w:r>
              <w:rPr>
                <w:rFonts w:hint="eastAsia" w:ascii="宋体"/>
                <w:szCs w:val="21"/>
                <w:lang w:val="de-DE"/>
              </w:rPr>
              <w:t>俗语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2学时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4500" w:type="dxa"/>
            <w:vAlign w:val="bottom"/>
          </w:tcPr>
          <w:p>
            <w:pPr>
              <w:ind w:firstLine="420"/>
              <w:rPr>
                <w:szCs w:val="21"/>
              </w:rPr>
            </w:pPr>
            <w:r>
              <w:rPr>
                <w:szCs w:val="21"/>
              </w:rPr>
              <w:t>Funktionsverben und Sprichwörter</w:t>
            </w:r>
          </w:p>
          <w:p>
            <w:pPr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知识要点：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1)</w:t>
            </w:r>
            <w:r>
              <w:rPr>
                <w:szCs w:val="21"/>
              </w:rPr>
              <w:t xml:space="preserve"> Funktionsverbgefüge</w:t>
            </w:r>
          </w:p>
          <w:p>
            <w:pPr>
              <w:pStyle w:val="3"/>
              <w:spacing w:after="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2)</w:t>
            </w:r>
            <w:r>
              <w:rPr>
                <w:szCs w:val="21"/>
              </w:rPr>
              <w:t xml:space="preserve"> Sprichwörter</w:t>
            </w:r>
          </w:p>
          <w:p>
            <w:pPr>
              <w:ind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Schwerpunkte</w:t>
            </w:r>
            <w:r>
              <w:rPr>
                <w:szCs w:val="21"/>
              </w:rPr>
              <w:t>: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</w:t>
            </w:r>
            <w:r>
              <w:rPr>
                <w:bCs/>
                <w:szCs w:val="21"/>
              </w:rPr>
              <w:t xml:space="preserve"> Die Studenten sollen</w:t>
            </w:r>
            <w:r>
              <w:rPr>
                <w:szCs w:val="21"/>
              </w:rPr>
              <w:t xml:space="preserve"> Funktionsverbgefüge auswendig lernen</w:t>
            </w:r>
            <w:r>
              <w:rPr>
                <w:bCs/>
                <w:szCs w:val="21"/>
              </w:rPr>
              <w:t>.</w:t>
            </w:r>
          </w:p>
          <w:p>
            <w:pPr>
              <w:tabs>
                <w:tab w:val="left" w:pos="7080"/>
              </w:tabs>
              <w:ind w:left="420" w:left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</w:t>
            </w:r>
            <w:r>
              <w:rPr>
                <w:bCs/>
                <w:szCs w:val="21"/>
              </w:rPr>
              <w:t>Die Studenten sollen Sprichwörtern auswendig lernen.</w:t>
            </w:r>
          </w:p>
          <w:p>
            <w:pPr>
              <w:tabs>
                <w:tab w:val="left" w:pos="7080"/>
              </w:tabs>
              <w:rPr>
                <w:szCs w:val="21"/>
                <w:lang w:val="de-DE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  <w:lang w:val="de-DE"/>
              </w:rPr>
              <w:t>Praxis：</w:t>
            </w:r>
          </w:p>
          <w:p>
            <w:pPr>
              <w:tabs>
                <w:tab w:val="left" w:pos="7080"/>
              </w:tabs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    Funktionsverbgefüge mit gegensätzlichen Bedeutungen</w:t>
            </w:r>
          </w:p>
          <w:p>
            <w:pPr>
              <w:tabs>
                <w:tab w:val="left" w:pos="7080"/>
              </w:tabs>
              <w:ind w:left="210" w:hanging="210" w:hangingChars="10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 xml:space="preserve">    Funktionsverbgefüge mit ähnlichen</w:t>
            </w:r>
          </w:p>
          <w:p>
            <w:pPr>
              <w:tabs>
                <w:tab w:val="left" w:pos="7080"/>
              </w:tabs>
              <w:ind w:left="210" w:hanging="210" w:hangingChars="100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Bedeutungen</w:t>
            </w:r>
          </w:p>
          <w:p>
            <w:pPr>
              <w:ind w:firstLine="420" w:firstLineChars="200"/>
              <w:rPr>
                <w:lang w:val="de-DE"/>
              </w:rPr>
            </w:pP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掌握常见的功能动词结构以及俗语谚语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2学时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（其中实践1学时）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snapToGrid w:val="0"/>
              <w:spacing w:before="60" w:beforeLines="25"/>
              <w:ind w:firstLine="105" w:firstLineChars="50"/>
              <w:jc w:val="center"/>
              <w:rPr>
                <w:szCs w:val="21"/>
                <w:lang w:val="de-DE"/>
              </w:rPr>
            </w:pPr>
            <w:r>
              <w:rPr>
                <w:szCs w:val="21"/>
                <w:lang w:val="de-DE"/>
              </w:rPr>
              <w:t>16</w:t>
            </w:r>
          </w:p>
        </w:tc>
        <w:tc>
          <w:tcPr>
            <w:tcW w:w="4500" w:type="dxa"/>
            <w:vAlign w:val="bottom"/>
          </w:tcPr>
          <w:p>
            <w:pPr>
              <w:ind w:firstLine="420" w:firstLineChars="200"/>
            </w:pPr>
            <w:r>
              <w:rPr>
                <w:rFonts w:hint="eastAsia"/>
              </w:rPr>
              <w:t>Test, 复习和备考</w:t>
            </w:r>
          </w:p>
        </w:tc>
        <w:tc>
          <w:tcPr>
            <w:tcW w:w="2700" w:type="dxa"/>
            <w:vAlign w:val="bottom"/>
          </w:tcPr>
          <w:p>
            <w:pPr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对德语八级考试词汇部分题型的汇总，对重点难点问题进行解析</w:t>
            </w:r>
          </w:p>
          <w:p>
            <w:pPr>
              <w:rPr>
                <w:rFonts w:ascii="宋体"/>
                <w:szCs w:val="21"/>
                <w:lang w:val="de-DE"/>
              </w:rPr>
            </w:pPr>
          </w:p>
        </w:tc>
        <w:tc>
          <w:tcPr>
            <w:tcW w:w="1155" w:type="dxa"/>
            <w:vAlign w:val="bottom"/>
          </w:tcPr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  <w:r>
              <w:rPr>
                <w:rFonts w:hint="eastAsia" w:ascii="宋体"/>
                <w:szCs w:val="21"/>
                <w:lang w:val="de-DE"/>
              </w:rPr>
              <w:t>2学时（其中实践2学时）</w:t>
            </w: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  <w:p>
            <w:pPr>
              <w:snapToGrid w:val="0"/>
              <w:spacing w:before="60" w:beforeLines="25"/>
              <w:ind w:firstLine="105" w:firstLineChars="50"/>
              <w:rPr>
                <w:rFonts w:ascii="宋体"/>
                <w:szCs w:val="21"/>
                <w:lang w:val="de-DE"/>
              </w:rPr>
            </w:pPr>
          </w:p>
        </w:tc>
      </w:tr>
    </w:tbl>
    <w:p>
      <w:pPr>
        <w:snapToGrid w:val="0"/>
        <w:spacing w:before="120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四、主要教学方法与手段</w:t>
      </w:r>
    </w:p>
    <w:p>
      <w:pPr>
        <w:spacing w:line="360" w:lineRule="auto"/>
        <w:ind w:firstLine="420" w:firstLineChars="200"/>
      </w:pPr>
      <w:r>
        <w:t>1</w:t>
      </w:r>
      <w:r>
        <w:rPr>
          <w:rFonts w:hint="eastAsia"/>
        </w:rPr>
        <w:t>．探究式。鼓励学生进行探究式学习，教师在课上要有意识的多鼓励学生质疑，师生可以共同质疑，最终解疑，同类问题还可以举一反三，以求更好的效果。</w:t>
      </w:r>
    </w:p>
    <w:p>
      <w:pPr>
        <w:spacing w:line="360" w:lineRule="auto"/>
        <w:ind w:firstLine="420" w:firstLineChars="200"/>
        <w:rPr>
          <w:lang w:val="de-DE"/>
        </w:rPr>
      </w:pPr>
      <w:r>
        <w:t>2</w:t>
      </w:r>
      <w:r>
        <w:rPr>
          <w:rFonts w:hint="eastAsia"/>
        </w:rPr>
        <w:t>．应用训练式。在课堂中</w:t>
      </w:r>
      <w:r>
        <w:rPr>
          <w:lang w:val="de-DE"/>
        </w:rPr>
        <w:t xml:space="preserve">, </w:t>
      </w:r>
      <w:r>
        <w:rPr>
          <w:rFonts w:hint="eastAsia"/>
          <w:lang w:val="de-DE"/>
        </w:rPr>
        <w:t>采取精讲多练的方法，让学生在练习中更好地熟悉和掌握语法规律，在实际运用中，区分各类同义词与近义词。</w:t>
      </w:r>
    </w:p>
    <w:p>
      <w:pPr>
        <w:spacing w:line="360" w:lineRule="auto"/>
        <w:ind w:firstLine="420" w:firstLineChars="200"/>
      </w:pPr>
    </w:p>
    <w:p>
      <w:pPr>
        <w:snapToGrid w:val="0"/>
        <w:spacing w:before="120" w:beforeLines="50" w:line="360" w:lineRule="auto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五、课程考核和成绩评定</w:t>
      </w:r>
    </w:p>
    <w:p>
      <w:pPr>
        <w:spacing w:line="360" w:lineRule="auto"/>
        <w:ind w:firstLine="420" w:firstLineChars="200"/>
      </w:pPr>
      <w:r>
        <w:rPr>
          <w:rFonts w:hint="eastAsia"/>
        </w:rPr>
        <w:t>课程考核方式：平时考核与期末考试相结合</w:t>
      </w:r>
    </w:p>
    <w:p>
      <w:pPr>
        <w:spacing w:line="360" w:lineRule="auto"/>
        <w:ind w:firstLine="420" w:firstLineChars="200"/>
      </w:pPr>
      <w:r>
        <w:rPr>
          <w:rFonts w:hint="eastAsia"/>
        </w:rPr>
        <w:t>成绩评定：平时成绩（3</w:t>
      </w:r>
      <w:r>
        <w:t>0%</w:t>
      </w:r>
      <w:r>
        <w:rPr>
          <w:rFonts w:hint="eastAsia"/>
        </w:rPr>
        <w:t>）</w:t>
      </w:r>
      <w:r>
        <w:t xml:space="preserve">+ </w:t>
      </w:r>
      <w:r>
        <w:rPr>
          <w:rFonts w:hint="eastAsia"/>
        </w:rPr>
        <w:t>期末闭卷考试（7</w:t>
      </w:r>
      <w:r>
        <w:t>0%</w:t>
      </w:r>
      <w:r>
        <w:rPr>
          <w:rFonts w:hint="eastAsia"/>
        </w:rPr>
        <w:t>）</w:t>
      </w:r>
    </w:p>
    <w:p>
      <w:pPr>
        <w:snapToGrid w:val="0"/>
        <w:spacing w:before="120" w:beforeLines="50" w:line="360" w:lineRule="auto"/>
        <w:rPr>
          <w:rFonts w:ascii="黑体" w:hAnsi="宋体" w:eastAsia="黑体"/>
          <w:sz w:val="28"/>
          <w:szCs w:val="28"/>
        </w:rPr>
      </w:pPr>
    </w:p>
    <w:p>
      <w:pPr>
        <w:spacing w:line="360" w:lineRule="auto"/>
        <w:ind w:firstLine="420" w:firstLineChars="200"/>
      </w:pPr>
    </w:p>
    <w:p/>
    <w:p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54DB8"/>
    <w:multiLevelType w:val="multilevel"/>
    <w:tmpl w:val="05E54DB8"/>
    <w:lvl w:ilvl="0" w:tentative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A5A613B"/>
    <w:multiLevelType w:val="multilevel"/>
    <w:tmpl w:val="0A5A613B"/>
    <w:lvl w:ilvl="0" w:tentative="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18930436"/>
    <w:multiLevelType w:val="multilevel"/>
    <w:tmpl w:val="18930436"/>
    <w:lvl w:ilvl="0" w:tentative="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3D936C6F"/>
    <w:multiLevelType w:val="multilevel"/>
    <w:tmpl w:val="3D936C6F"/>
    <w:lvl w:ilvl="0" w:tentative="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5" w:hanging="420"/>
      </w:pPr>
    </w:lvl>
    <w:lvl w:ilvl="2" w:tentative="0">
      <w:start w:val="1"/>
      <w:numFmt w:val="lowerRoman"/>
      <w:lvlText w:val="%3."/>
      <w:lvlJc w:val="right"/>
      <w:pPr>
        <w:ind w:left="1785" w:hanging="420"/>
      </w:pPr>
    </w:lvl>
    <w:lvl w:ilvl="3" w:tentative="0">
      <w:start w:val="1"/>
      <w:numFmt w:val="decimal"/>
      <w:lvlText w:val="%4."/>
      <w:lvlJc w:val="left"/>
      <w:pPr>
        <w:ind w:left="2205" w:hanging="420"/>
      </w:pPr>
    </w:lvl>
    <w:lvl w:ilvl="4" w:tentative="0">
      <w:start w:val="1"/>
      <w:numFmt w:val="lowerLetter"/>
      <w:lvlText w:val="%5)"/>
      <w:lvlJc w:val="left"/>
      <w:pPr>
        <w:ind w:left="2625" w:hanging="420"/>
      </w:pPr>
    </w:lvl>
    <w:lvl w:ilvl="5" w:tentative="0">
      <w:start w:val="1"/>
      <w:numFmt w:val="lowerRoman"/>
      <w:lvlText w:val="%6."/>
      <w:lvlJc w:val="right"/>
      <w:pPr>
        <w:ind w:left="3045" w:hanging="420"/>
      </w:pPr>
    </w:lvl>
    <w:lvl w:ilvl="6" w:tentative="0">
      <w:start w:val="1"/>
      <w:numFmt w:val="decimal"/>
      <w:lvlText w:val="%7."/>
      <w:lvlJc w:val="left"/>
      <w:pPr>
        <w:ind w:left="3465" w:hanging="420"/>
      </w:pPr>
    </w:lvl>
    <w:lvl w:ilvl="7" w:tentative="0">
      <w:start w:val="1"/>
      <w:numFmt w:val="lowerLetter"/>
      <w:lvlText w:val="%8)"/>
      <w:lvlJc w:val="left"/>
      <w:pPr>
        <w:ind w:left="3885" w:hanging="420"/>
      </w:pPr>
    </w:lvl>
    <w:lvl w:ilvl="8" w:tentative="0">
      <w:start w:val="1"/>
      <w:numFmt w:val="lowerRoman"/>
      <w:lvlText w:val="%9."/>
      <w:lvlJc w:val="right"/>
      <w:pPr>
        <w:ind w:left="4305" w:hanging="420"/>
      </w:pPr>
    </w:lvl>
  </w:abstractNum>
  <w:abstractNum w:abstractNumId="4">
    <w:nsid w:val="6B8C15D0"/>
    <w:multiLevelType w:val="multilevel"/>
    <w:tmpl w:val="6B8C15D0"/>
    <w:lvl w:ilvl="0" w:tentative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2B63"/>
    <w:rsid w:val="0000129F"/>
    <w:rsid w:val="00004C14"/>
    <w:rsid w:val="0001357F"/>
    <w:rsid w:val="0001688F"/>
    <w:rsid w:val="00020E96"/>
    <w:rsid w:val="00036742"/>
    <w:rsid w:val="000368F5"/>
    <w:rsid w:val="000445F8"/>
    <w:rsid w:val="0004554B"/>
    <w:rsid w:val="0005454A"/>
    <w:rsid w:val="00057378"/>
    <w:rsid w:val="000634FC"/>
    <w:rsid w:val="000662D1"/>
    <w:rsid w:val="00067818"/>
    <w:rsid w:val="00071B3B"/>
    <w:rsid w:val="000765A4"/>
    <w:rsid w:val="00085339"/>
    <w:rsid w:val="00086019"/>
    <w:rsid w:val="00086024"/>
    <w:rsid w:val="00086BDD"/>
    <w:rsid w:val="00087739"/>
    <w:rsid w:val="0009366B"/>
    <w:rsid w:val="00093E7D"/>
    <w:rsid w:val="000A1F27"/>
    <w:rsid w:val="000A4C32"/>
    <w:rsid w:val="000A504A"/>
    <w:rsid w:val="000A6F24"/>
    <w:rsid w:val="000B2FD9"/>
    <w:rsid w:val="000B353E"/>
    <w:rsid w:val="000C6F6A"/>
    <w:rsid w:val="000D3C2D"/>
    <w:rsid w:val="000E05B6"/>
    <w:rsid w:val="000E233E"/>
    <w:rsid w:val="000E3D13"/>
    <w:rsid w:val="000E5E5A"/>
    <w:rsid w:val="000E6F12"/>
    <w:rsid w:val="000F008D"/>
    <w:rsid w:val="000F4DA6"/>
    <w:rsid w:val="00114548"/>
    <w:rsid w:val="001175E6"/>
    <w:rsid w:val="0011781C"/>
    <w:rsid w:val="00121174"/>
    <w:rsid w:val="00122F2C"/>
    <w:rsid w:val="001330C9"/>
    <w:rsid w:val="001372A7"/>
    <w:rsid w:val="00142F16"/>
    <w:rsid w:val="001432A6"/>
    <w:rsid w:val="001437CD"/>
    <w:rsid w:val="00147A9F"/>
    <w:rsid w:val="0016069A"/>
    <w:rsid w:val="00162FBC"/>
    <w:rsid w:val="00166374"/>
    <w:rsid w:val="00171740"/>
    <w:rsid w:val="00172008"/>
    <w:rsid w:val="00185F1B"/>
    <w:rsid w:val="00191ACD"/>
    <w:rsid w:val="00192D9A"/>
    <w:rsid w:val="001A2B63"/>
    <w:rsid w:val="001C15AD"/>
    <w:rsid w:val="001C3EED"/>
    <w:rsid w:val="001D0CCE"/>
    <w:rsid w:val="001D33AC"/>
    <w:rsid w:val="001E0366"/>
    <w:rsid w:val="001E570A"/>
    <w:rsid w:val="001F179A"/>
    <w:rsid w:val="001F2034"/>
    <w:rsid w:val="002065FB"/>
    <w:rsid w:val="00207A4C"/>
    <w:rsid w:val="0021295F"/>
    <w:rsid w:val="00215A47"/>
    <w:rsid w:val="00222B78"/>
    <w:rsid w:val="00225739"/>
    <w:rsid w:val="00225FF2"/>
    <w:rsid w:val="002423FA"/>
    <w:rsid w:val="00261EE9"/>
    <w:rsid w:val="00263C1F"/>
    <w:rsid w:val="00267B8D"/>
    <w:rsid w:val="002711BE"/>
    <w:rsid w:val="00272D66"/>
    <w:rsid w:val="00277819"/>
    <w:rsid w:val="0028107A"/>
    <w:rsid w:val="00285B8B"/>
    <w:rsid w:val="00295DA8"/>
    <w:rsid w:val="00297FDF"/>
    <w:rsid w:val="002A681A"/>
    <w:rsid w:val="002B61E3"/>
    <w:rsid w:val="002B7EBD"/>
    <w:rsid w:val="002C5955"/>
    <w:rsid w:val="002D18FA"/>
    <w:rsid w:val="002D6E30"/>
    <w:rsid w:val="002D7C35"/>
    <w:rsid w:val="002E11AD"/>
    <w:rsid w:val="002F09CD"/>
    <w:rsid w:val="002F6D91"/>
    <w:rsid w:val="00303FC7"/>
    <w:rsid w:val="00310812"/>
    <w:rsid w:val="0031260B"/>
    <w:rsid w:val="0031743F"/>
    <w:rsid w:val="003236F5"/>
    <w:rsid w:val="0033312B"/>
    <w:rsid w:val="003372A5"/>
    <w:rsid w:val="003377E2"/>
    <w:rsid w:val="00346432"/>
    <w:rsid w:val="003527C1"/>
    <w:rsid w:val="00356D8E"/>
    <w:rsid w:val="00357AD9"/>
    <w:rsid w:val="00361F98"/>
    <w:rsid w:val="00362B6D"/>
    <w:rsid w:val="0036599E"/>
    <w:rsid w:val="003715DB"/>
    <w:rsid w:val="00372D8F"/>
    <w:rsid w:val="003803E2"/>
    <w:rsid w:val="00387A63"/>
    <w:rsid w:val="0039067C"/>
    <w:rsid w:val="003907DE"/>
    <w:rsid w:val="00391289"/>
    <w:rsid w:val="003A4682"/>
    <w:rsid w:val="003B0E5A"/>
    <w:rsid w:val="003B7E03"/>
    <w:rsid w:val="003D349B"/>
    <w:rsid w:val="003E2B41"/>
    <w:rsid w:val="003E5E51"/>
    <w:rsid w:val="003E6A04"/>
    <w:rsid w:val="003F0916"/>
    <w:rsid w:val="004024FA"/>
    <w:rsid w:val="00407351"/>
    <w:rsid w:val="004076BF"/>
    <w:rsid w:val="00407F3F"/>
    <w:rsid w:val="00411BD6"/>
    <w:rsid w:val="0041251B"/>
    <w:rsid w:val="00416BEC"/>
    <w:rsid w:val="004207A7"/>
    <w:rsid w:val="00422828"/>
    <w:rsid w:val="004229BD"/>
    <w:rsid w:val="00426C07"/>
    <w:rsid w:val="00431677"/>
    <w:rsid w:val="0043283F"/>
    <w:rsid w:val="00434236"/>
    <w:rsid w:val="004368D3"/>
    <w:rsid w:val="00436F1D"/>
    <w:rsid w:val="0044298E"/>
    <w:rsid w:val="00446A92"/>
    <w:rsid w:val="00451DA6"/>
    <w:rsid w:val="00457318"/>
    <w:rsid w:val="00462ADF"/>
    <w:rsid w:val="00463339"/>
    <w:rsid w:val="0046518C"/>
    <w:rsid w:val="004732AF"/>
    <w:rsid w:val="00473B97"/>
    <w:rsid w:val="004767AD"/>
    <w:rsid w:val="0048621A"/>
    <w:rsid w:val="00494F28"/>
    <w:rsid w:val="00495EA6"/>
    <w:rsid w:val="00496A41"/>
    <w:rsid w:val="004A08AE"/>
    <w:rsid w:val="004A13FD"/>
    <w:rsid w:val="004B0AEC"/>
    <w:rsid w:val="004B1146"/>
    <w:rsid w:val="004C64C6"/>
    <w:rsid w:val="004D1BC3"/>
    <w:rsid w:val="004D588B"/>
    <w:rsid w:val="004D59DB"/>
    <w:rsid w:val="004D6887"/>
    <w:rsid w:val="004D74DA"/>
    <w:rsid w:val="004E0CDB"/>
    <w:rsid w:val="004E4EBA"/>
    <w:rsid w:val="004F2B2E"/>
    <w:rsid w:val="00505CDE"/>
    <w:rsid w:val="00506D00"/>
    <w:rsid w:val="005104EA"/>
    <w:rsid w:val="00510820"/>
    <w:rsid w:val="0051124A"/>
    <w:rsid w:val="00513129"/>
    <w:rsid w:val="005216D0"/>
    <w:rsid w:val="005269D4"/>
    <w:rsid w:val="00526EED"/>
    <w:rsid w:val="00534E2A"/>
    <w:rsid w:val="00544918"/>
    <w:rsid w:val="00553D71"/>
    <w:rsid w:val="005570C9"/>
    <w:rsid w:val="00572E8A"/>
    <w:rsid w:val="00573255"/>
    <w:rsid w:val="005744E3"/>
    <w:rsid w:val="00590257"/>
    <w:rsid w:val="005A1794"/>
    <w:rsid w:val="005B03C7"/>
    <w:rsid w:val="005B20F7"/>
    <w:rsid w:val="005B75EA"/>
    <w:rsid w:val="005C134E"/>
    <w:rsid w:val="005D395D"/>
    <w:rsid w:val="005D3B18"/>
    <w:rsid w:val="005D3CCD"/>
    <w:rsid w:val="005E763F"/>
    <w:rsid w:val="005F3F3E"/>
    <w:rsid w:val="00600B4E"/>
    <w:rsid w:val="00605FC3"/>
    <w:rsid w:val="00606483"/>
    <w:rsid w:val="00611825"/>
    <w:rsid w:val="006139D0"/>
    <w:rsid w:val="00625B39"/>
    <w:rsid w:val="006329C6"/>
    <w:rsid w:val="00633261"/>
    <w:rsid w:val="00636C6B"/>
    <w:rsid w:val="00645671"/>
    <w:rsid w:val="00653A68"/>
    <w:rsid w:val="00654F8D"/>
    <w:rsid w:val="00667094"/>
    <w:rsid w:val="006722FA"/>
    <w:rsid w:val="0068580A"/>
    <w:rsid w:val="00687B50"/>
    <w:rsid w:val="00690230"/>
    <w:rsid w:val="006906E2"/>
    <w:rsid w:val="006906E8"/>
    <w:rsid w:val="00695230"/>
    <w:rsid w:val="006A26EC"/>
    <w:rsid w:val="006A55CF"/>
    <w:rsid w:val="006B0B9A"/>
    <w:rsid w:val="006C2AD1"/>
    <w:rsid w:val="006C63B6"/>
    <w:rsid w:val="006C7AF5"/>
    <w:rsid w:val="006D2440"/>
    <w:rsid w:val="006D26E4"/>
    <w:rsid w:val="006D4D75"/>
    <w:rsid w:val="006D7ED6"/>
    <w:rsid w:val="006F6B00"/>
    <w:rsid w:val="0070090E"/>
    <w:rsid w:val="00710BC5"/>
    <w:rsid w:val="00711D6D"/>
    <w:rsid w:val="00714F5E"/>
    <w:rsid w:val="0071687D"/>
    <w:rsid w:val="007213BC"/>
    <w:rsid w:val="007232C9"/>
    <w:rsid w:val="00724D55"/>
    <w:rsid w:val="007269A0"/>
    <w:rsid w:val="00726AF0"/>
    <w:rsid w:val="00731158"/>
    <w:rsid w:val="007315CB"/>
    <w:rsid w:val="0073490A"/>
    <w:rsid w:val="00736717"/>
    <w:rsid w:val="007374A9"/>
    <w:rsid w:val="007425B0"/>
    <w:rsid w:val="00751DEE"/>
    <w:rsid w:val="00753B19"/>
    <w:rsid w:val="00754F15"/>
    <w:rsid w:val="0075523A"/>
    <w:rsid w:val="00762308"/>
    <w:rsid w:val="00767085"/>
    <w:rsid w:val="00770D46"/>
    <w:rsid w:val="00770F9D"/>
    <w:rsid w:val="00771564"/>
    <w:rsid w:val="00771D83"/>
    <w:rsid w:val="0077613D"/>
    <w:rsid w:val="007812B3"/>
    <w:rsid w:val="00781E7E"/>
    <w:rsid w:val="00783D96"/>
    <w:rsid w:val="00795EF4"/>
    <w:rsid w:val="007A0100"/>
    <w:rsid w:val="007A41C0"/>
    <w:rsid w:val="007B0897"/>
    <w:rsid w:val="007B350D"/>
    <w:rsid w:val="007B42B9"/>
    <w:rsid w:val="007C2C49"/>
    <w:rsid w:val="007C2FF2"/>
    <w:rsid w:val="007C372D"/>
    <w:rsid w:val="007E1F77"/>
    <w:rsid w:val="007F2EF3"/>
    <w:rsid w:val="007F5FC7"/>
    <w:rsid w:val="00804BD8"/>
    <w:rsid w:val="00810E9A"/>
    <w:rsid w:val="0082148D"/>
    <w:rsid w:val="00826CB5"/>
    <w:rsid w:val="00826CD8"/>
    <w:rsid w:val="0084053A"/>
    <w:rsid w:val="00843F68"/>
    <w:rsid w:val="00861037"/>
    <w:rsid w:val="00863F7F"/>
    <w:rsid w:val="00876145"/>
    <w:rsid w:val="0088130E"/>
    <w:rsid w:val="00886DAA"/>
    <w:rsid w:val="00890069"/>
    <w:rsid w:val="00891493"/>
    <w:rsid w:val="0089218C"/>
    <w:rsid w:val="008923B6"/>
    <w:rsid w:val="008960AD"/>
    <w:rsid w:val="008A0E27"/>
    <w:rsid w:val="008A5380"/>
    <w:rsid w:val="008B180F"/>
    <w:rsid w:val="008B28DD"/>
    <w:rsid w:val="008B5E67"/>
    <w:rsid w:val="008B7E39"/>
    <w:rsid w:val="008C12B8"/>
    <w:rsid w:val="008C7C42"/>
    <w:rsid w:val="008D57E9"/>
    <w:rsid w:val="008D69E1"/>
    <w:rsid w:val="008E184C"/>
    <w:rsid w:val="008E2468"/>
    <w:rsid w:val="008E6477"/>
    <w:rsid w:val="00901DE4"/>
    <w:rsid w:val="009068F3"/>
    <w:rsid w:val="009102C0"/>
    <w:rsid w:val="009136C8"/>
    <w:rsid w:val="00915133"/>
    <w:rsid w:val="009175D8"/>
    <w:rsid w:val="00917F47"/>
    <w:rsid w:val="0093077E"/>
    <w:rsid w:val="009319F6"/>
    <w:rsid w:val="009508D4"/>
    <w:rsid w:val="0095106C"/>
    <w:rsid w:val="00955413"/>
    <w:rsid w:val="00956807"/>
    <w:rsid w:val="009575B9"/>
    <w:rsid w:val="0096006F"/>
    <w:rsid w:val="009625DF"/>
    <w:rsid w:val="00970CC8"/>
    <w:rsid w:val="0098356D"/>
    <w:rsid w:val="00983B9D"/>
    <w:rsid w:val="00985E4D"/>
    <w:rsid w:val="00993C55"/>
    <w:rsid w:val="00997351"/>
    <w:rsid w:val="009A0B5B"/>
    <w:rsid w:val="009A0FEC"/>
    <w:rsid w:val="009A74AA"/>
    <w:rsid w:val="009B31C4"/>
    <w:rsid w:val="009B473B"/>
    <w:rsid w:val="009C2805"/>
    <w:rsid w:val="009C5020"/>
    <w:rsid w:val="009C5DBE"/>
    <w:rsid w:val="009C638F"/>
    <w:rsid w:val="009D09BC"/>
    <w:rsid w:val="009D1585"/>
    <w:rsid w:val="009E11F6"/>
    <w:rsid w:val="009E47EC"/>
    <w:rsid w:val="009F1F4C"/>
    <w:rsid w:val="009F32EC"/>
    <w:rsid w:val="009F7321"/>
    <w:rsid w:val="00A017EC"/>
    <w:rsid w:val="00A1426D"/>
    <w:rsid w:val="00A14DD9"/>
    <w:rsid w:val="00A218EC"/>
    <w:rsid w:val="00A2567E"/>
    <w:rsid w:val="00A2573C"/>
    <w:rsid w:val="00A30DFA"/>
    <w:rsid w:val="00A31CD3"/>
    <w:rsid w:val="00A34372"/>
    <w:rsid w:val="00A35066"/>
    <w:rsid w:val="00A43E4C"/>
    <w:rsid w:val="00A47E8A"/>
    <w:rsid w:val="00A60997"/>
    <w:rsid w:val="00A67210"/>
    <w:rsid w:val="00A72123"/>
    <w:rsid w:val="00A75351"/>
    <w:rsid w:val="00A753DD"/>
    <w:rsid w:val="00A7616B"/>
    <w:rsid w:val="00A767D1"/>
    <w:rsid w:val="00A8008E"/>
    <w:rsid w:val="00A82ECC"/>
    <w:rsid w:val="00A843C0"/>
    <w:rsid w:val="00A913FF"/>
    <w:rsid w:val="00A91A17"/>
    <w:rsid w:val="00A94A31"/>
    <w:rsid w:val="00AA2D95"/>
    <w:rsid w:val="00AA76AB"/>
    <w:rsid w:val="00AB4694"/>
    <w:rsid w:val="00AB4E4B"/>
    <w:rsid w:val="00AB552D"/>
    <w:rsid w:val="00AB77FA"/>
    <w:rsid w:val="00AD49AE"/>
    <w:rsid w:val="00AE6D7B"/>
    <w:rsid w:val="00AF0E27"/>
    <w:rsid w:val="00AF4950"/>
    <w:rsid w:val="00AF792B"/>
    <w:rsid w:val="00B03C24"/>
    <w:rsid w:val="00B0551C"/>
    <w:rsid w:val="00B06B57"/>
    <w:rsid w:val="00B11191"/>
    <w:rsid w:val="00B176D3"/>
    <w:rsid w:val="00B23344"/>
    <w:rsid w:val="00B271A3"/>
    <w:rsid w:val="00B2785A"/>
    <w:rsid w:val="00B322BB"/>
    <w:rsid w:val="00B360A3"/>
    <w:rsid w:val="00B4284C"/>
    <w:rsid w:val="00B43D31"/>
    <w:rsid w:val="00B52352"/>
    <w:rsid w:val="00B54628"/>
    <w:rsid w:val="00B5498F"/>
    <w:rsid w:val="00B54A13"/>
    <w:rsid w:val="00B54D6D"/>
    <w:rsid w:val="00B5505C"/>
    <w:rsid w:val="00B55832"/>
    <w:rsid w:val="00B60C03"/>
    <w:rsid w:val="00B61396"/>
    <w:rsid w:val="00B636AE"/>
    <w:rsid w:val="00B67B55"/>
    <w:rsid w:val="00B70F14"/>
    <w:rsid w:val="00B71F75"/>
    <w:rsid w:val="00B72393"/>
    <w:rsid w:val="00B746E1"/>
    <w:rsid w:val="00B75385"/>
    <w:rsid w:val="00B82EEF"/>
    <w:rsid w:val="00B84EF8"/>
    <w:rsid w:val="00B91CA8"/>
    <w:rsid w:val="00B960E2"/>
    <w:rsid w:val="00B969CF"/>
    <w:rsid w:val="00B97CEA"/>
    <w:rsid w:val="00BA26CF"/>
    <w:rsid w:val="00BB2CAE"/>
    <w:rsid w:val="00BB3A67"/>
    <w:rsid w:val="00BB3B94"/>
    <w:rsid w:val="00BD7ED1"/>
    <w:rsid w:val="00BE1137"/>
    <w:rsid w:val="00BE29AF"/>
    <w:rsid w:val="00BE480B"/>
    <w:rsid w:val="00BE56BD"/>
    <w:rsid w:val="00BE6E37"/>
    <w:rsid w:val="00BE7A96"/>
    <w:rsid w:val="00BF39BF"/>
    <w:rsid w:val="00BF5008"/>
    <w:rsid w:val="00C00150"/>
    <w:rsid w:val="00C02773"/>
    <w:rsid w:val="00C02AB8"/>
    <w:rsid w:val="00C05A66"/>
    <w:rsid w:val="00C11506"/>
    <w:rsid w:val="00C129F9"/>
    <w:rsid w:val="00C17108"/>
    <w:rsid w:val="00C21A0A"/>
    <w:rsid w:val="00C22411"/>
    <w:rsid w:val="00C22806"/>
    <w:rsid w:val="00C26CD2"/>
    <w:rsid w:val="00C35202"/>
    <w:rsid w:val="00C444B5"/>
    <w:rsid w:val="00C50B32"/>
    <w:rsid w:val="00C675F5"/>
    <w:rsid w:val="00C85B0A"/>
    <w:rsid w:val="00C90DBE"/>
    <w:rsid w:val="00C9167E"/>
    <w:rsid w:val="00CA018B"/>
    <w:rsid w:val="00CB19E5"/>
    <w:rsid w:val="00CB7053"/>
    <w:rsid w:val="00CB7CAE"/>
    <w:rsid w:val="00CC100A"/>
    <w:rsid w:val="00CD0AD9"/>
    <w:rsid w:val="00CD2784"/>
    <w:rsid w:val="00CD7A4A"/>
    <w:rsid w:val="00CD7C32"/>
    <w:rsid w:val="00CE3B25"/>
    <w:rsid w:val="00CF2383"/>
    <w:rsid w:val="00D05477"/>
    <w:rsid w:val="00D073DE"/>
    <w:rsid w:val="00D1337E"/>
    <w:rsid w:val="00D27012"/>
    <w:rsid w:val="00D35BD2"/>
    <w:rsid w:val="00D42C48"/>
    <w:rsid w:val="00D46B4A"/>
    <w:rsid w:val="00D57F3B"/>
    <w:rsid w:val="00D702BA"/>
    <w:rsid w:val="00D71EC3"/>
    <w:rsid w:val="00D7519F"/>
    <w:rsid w:val="00D802F2"/>
    <w:rsid w:val="00D90DE1"/>
    <w:rsid w:val="00D92D77"/>
    <w:rsid w:val="00D94AAC"/>
    <w:rsid w:val="00D965DF"/>
    <w:rsid w:val="00DA1F27"/>
    <w:rsid w:val="00DA5105"/>
    <w:rsid w:val="00DA6F4F"/>
    <w:rsid w:val="00DB5769"/>
    <w:rsid w:val="00DC1ABC"/>
    <w:rsid w:val="00DC3002"/>
    <w:rsid w:val="00DD059C"/>
    <w:rsid w:val="00DD14DF"/>
    <w:rsid w:val="00DD3C71"/>
    <w:rsid w:val="00DD58CF"/>
    <w:rsid w:val="00DE1AA2"/>
    <w:rsid w:val="00DF531D"/>
    <w:rsid w:val="00DF76B0"/>
    <w:rsid w:val="00DF7B6A"/>
    <w:rsid w:val="00E014B2"/>
    <w:rsid w:val="00E04883"/>
    <w:rsid w:val="00E078A4"/>
    <w:rsid w:val="00E150BB"/>
    <w:rsid w:val="00E17752"/>
    <w:rsid w:val="00E25762"/>
    <w:rsid w:val="00E26C03"/>
    <w:rsid w:val="00E27E22"/>
    <w:rsid w:val="00E34C24"/>
    <w:rsid w:val="00E57B58"/>
    <w:rsid w:val="00E870CB"/>
    <w:rsid w:val="00E90937"/>
    <w:rsid w:val="00E9305C"/>
    <w:rsid w:val="00E93C07"/>
    <w:rsid w:val="00E94DE8"/>
    <w:rsid w:val="00EA368D"/>
    <w:rsid w:val="00EA3817"/>
    <w:rsid w:val="00EA3B77"/>
    <w:rsid w:val="00EB2CBA"/>
    <w:rsid w:val="00EB73E1"/>
    <w:rsid w:val="00EC7203"/>
    <w:rsid w:val="00ED05FE"/>
    <w:rsid w:val="00ED0F51"/>
    <w:rsid w:val="00ED313B"/>
    <w:rsid w:val="00ED328F"/>
    <w:rsid w:val="00ED5558"/>
    <w:rsid w:val="00EE4087"/>
    <w:rsid w:val="00EF0B0F"/>
    <w:rsid w:val="00EF7C89"/>
    <w:rsid w:val="00F05E01"/>
    <w:rsid w:val="00F15448"/>
    <w:rsid w:val="00F178DA"/>
    <w:rsid w:val="00F25735"/>
    <w:rsid w:val="00F268E2"/>
    <w:rsid w:val="00F3083A"/>
    <w:rsid w:val="00F37D24"/>
    <w:rsid w:val="00F44078"/>
    <w:rsid w:val="00F44CA5"/>
    <w:rsid w:val="00F50E89"/>
    <w:rsid w:val="00F66A78"/>
    <w:rsid w:val="00F67893"/>
    <w:rsid w:val="00F70425"/>
    <w:rsid w:val="00F70442"/>
    <w:rsid w:val="00F804E8"/>
    <w:rsid w:val="00F811C4"/>
    <w:rsid w:val="00F820CB"/>
    <w:rsid w:val="00F83C00"/>
    <w:rsid w:val="00F87BE3"/>
    <w:rsid w:val="00F90E28"/>
    <w:rsid w:val="00F91221"/>
    <w:rsid w:val="00F9283A"/>
    <w:rsid w:val="00F93F86"/>
    <w:rsid w:val="00FB1077"/>
    <w:rsid w:val="00FB587A"/>
    <w:rsid w:val="00FC0A91"/>
    <w:rsid w:val="00FC0BFA"/>
    <w:rsid w:val="00FC4CF0"/>
    <w:rsid w:val="00FD2818"/>
    <w:rsid w:val="00FD2BDF"/>
    <w:rsid w:val="00FE1B9D"/>
    <w:rsid w:val="00FE3A4D"/>
    <w:rsid w:val="00FF0704"/>
    <w:rsid w:val="00FF167E"/>
    <w:rsid w:val="00FF2125"/>
    <w:rsid w:val="0BA32814"/>
    <w:rsid w:val="0FA732CB"/>
    <w:rsid w:val="144464CB"/>
    <w:rsid w:val="19F5481D"/>
    <w:rsid w:val="261D5146"/>
    <w:rsid w:val="37EB3BCD"/>
    <w:rsid w:val="38F574C1"/>
    <w:rsid w:val="3A547C50"/>
    <w:rsid w:val="4305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jc w:val="center"/>
      <w:outlineLvl w:val="0"/>
    </w:pPr>
    <w:rPr>
      <w:b/>
      <w:bCs/>
      <w:sz w:val="32"/>
      <w:lang w:val="de-DE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8"/>
    <w:uiPriority w:val="0"/>
    <w:pPr>
      <w:spacing w:after="12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uiPriority w:val="99"/>
    <w:rPr>
      <w:rFonts w:ascii="Times New Roman" w:hAnsi="Times New Roman" w:eastAsia="宋体" w:cs="Times New Roman"/>
      <w:szCs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1 Char"/>
    <w:basedOn w:val="7"/>
    <w:link w:val="2"/>
    <w:uiPriority w:val="0"/>
    <w:rPr>
      <w:rFonts w:ascii="Times New Roman" w:hAnsi="Times New Roman" w:eastAsia="宋体" w:cs="Times New Roman"/>
      <w:b/>
      <w:bCs/>
      <w:sz w:val="32"/>
      <w:szCs w:val="24"/>
      <w:lang w:val="de-DE"/>
    </w:rPr>
  </w:style>
  <w:style w:type="character" w:customStyle="1" w:styleId="11">
    <w:name w:val="页眉 Char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2598</Words>
  <Characters>7526</Characters>
  <Lines>61</Lines>
  <Paragraphs>17</Paragraphs>
  <TotalTime>9</TotalTime>
  <ScaleCrop>false</ScaleCrop>
  <LinksUpToDate>false</LinksUpToDate>
  <CharactersWithSpaces>8325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2015-04-06T13:43:00Z</dcterms:created>
  <dc:creator>asus</dc:creator>
  <cp:lastModifiedBy>Acer</cp:lastModifiedBy>
  <dcterms:modified xsi:type="dcterms:W3CDTF">2022-02-18T02:19:08Z</dcterms:modified>
  <cp:revision>251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4B9EC7FEBEC84462B68F0D37BF19C07C</vt:lpwstr>
  </property>
</Properties>
</file>