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6D6E5" w14:textId="77777777" w:rsidR="00A04241" w:rsidRDefault="00381208">
      <w:pPr>
        <w:widowControl/>
        <w:snapToGrid w:val="0"/>
        <w:spacing w:line="276" w:lineRule="auto"/>
        <w:jc w:val="center"/>
        <w:rPr>
          <w:rFonts w:ascii="Times New Roman" w:eastAsia="黑体" w:hAnsi="Times New Roman" w:cs="Times New Roman"/>
          <w:color w:val="000000"/>
          <w:sz w:val="32"/>
          <w:szCs w:val="32"/>
          <w:lang w:val="en-US"/>
        </w:rPr>
      </w:pPr>
      <w:r>
        <w:rPr>
          <w:rFonts w:ascii="Times New Roman" w:eastAsia="黑体" w:hAnsi="Times New Roman" w:cs="Times New Roman"/>
          <w:color w:val="000000"/>
          <w:sz w:val="32"/>
          <w:szCs w:val="32"/>
          <w:lang w:val="en-US"/>
        </w:rPr>
        <w:t>《德语文学作品分析》课程教学大纲</w:t>
      </w:r>
    </w:p>
    <w:p w14:paraId="530EDFF7" w14:textId="77777777" w:rsidR="00A04241" w:rsidRDefault="00381208">
      <w:pPr>
        <w:snapToGrid w:val="0"/>
        <w:spacing w:beforeLines="50" w:before="156" w:line="276" w:lineRule="auto"/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  <w:t>一、课程基本信息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3402"/>
        <w:gridCol w:w="3843"/>
      </w:tblGrid>
      <w:tr w:rsidR="00A04241" w14:paraId="7E0C2038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7CB2D939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课程名称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 w14:paraId="74445F62" w14:textId="77777777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德语文学作品分析</w:t>
            </w:r>
          </w:p>
        </w:tc>
      </w:tr>
      <w:tr w:rsidR="00A04241" w14:paraId="1840C11A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323CFAA8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德文名称</w:t>
            </w:r>
          </w:p>
        </w:tc>
        <w:tc>
          <w:tcPr>
            <w:tcW w:w="7245" w:type="dxa"/>
            <w:gridSpan w:val="2"/>
            <w:tcMar>
              <w:left w:w="57" w:type="dxa"/>
              <w:right w:w="57" w:type="dxa"/>
            </w:tcMar>
            <w:vAlign w:val="center"/>
          </w:tcPr>
          <w:p w14:paraId="6868D1AD" w14:textId="77777777" w:rsidR="00A04241" w:rsidRDefault="00381208" w:rsidP="007643FD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Analyse der deutschsprachigen literarischen Werke</w:t>
            </w:r>
          </w:p>
        </w:tc>
      </w:tr>
      <w:tr w:rsidR="00A04241" w14:paraId="65E9686F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073CC177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课程代码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D69C7E" w14:textId="51791EEB" w:rsidR="00A04241" w:rsidRDefault="009278AC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 w:rsidRPr="009278AC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ZYK0210043</w:t>
            </w:r>
          </w:p>
        </w:tc>
        <w:tc>
          <w:tcPr>
            <w:tcW w:w="3843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3E5256" w14:textId="77777777" w:rsidR="00A04241" w:rsidRDefault="00381208">
            <w:pPr>
              <w:snapToGrid w:val="0"/>
              <w:spacing w:beforeLines="25" w:before="78" w:line="276" w:lineRule="auto"/>
              <w:ind w:leftChars="16" w:left="34"/>
              <w:jc w:val="center"/>
              <w:rPr>
                <w:rFonts w:ascii="Times New Roman" w:eastAsia="黑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黑体" w:hAnsi="Times New Roman" w:cs="Times New Roman"/>
                <w:color w:val="000000"/>
                <w:szCs w:val="21"/>
                <w:lang w:val="en-US"/>
              </w:rPr>
              <w:t>与其他课程关系</w:t>
            </w:r>
          </w:p>
        </w:tc>
      </w:tr>
      <w:tr w:rsidR="00A04241" w14:paraId="2FA68AB7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46585732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课程性质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15F015" w14:textId="6E05FF8D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专业</w:t>
            </w:r>
            <w:r w:rsidR="009278AC"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任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选</w:t>
            </w:r>
          </w:p>
        </w:tc>
        <w:tc>
          <w:tcPr>
            <w:tcW w:w="3843" w:type="dxa"/>
            <w:vMerge w:val="restart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82414" w14:textId="77777777" w:rsidR="00A04241" w:rsidRDefault="00381208">
            <w:pPr>
              <w:snapToGrid w:val="0"/>
              <w:spacing w:line="276" w:lineRule="auto"/>
              <w:ind w:leftChars="43" w:left="90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先修课程：《德语文学选读》</w:t>
            </w:r>
          </w:p>
          <w:p w14:paraId="177CF3ED" w14:textId="77777777" w:rsidR="00A04241" w:rsidRDefault="00381208">
            <w:pPr>
              <w:snapToGrid w:val="0"/>
              <w:spacing w:line="276" w:lineRule="auto"/>
              <w:ind w:leftChars="43" w:left="90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后续课程：无</w:t>
            </w:r>
          </w:p>
        </w:tc>
      </w:tr>
      <w:tr w:rsidR="00A04241" w14:paraId="19D7137D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23244A20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学时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/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学分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3C7794" w14:textId="77777777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32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学时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/2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学分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C44D52" w14:textId="77777777" w:rsidR="00A04241" w:rsidRDefault="00A04241">
            <w:pPr>
              <w:snapToGrid w:val="0"/>
              <w:spacing w:line="276" w:lineRule="auto"/>
              <w:ind w:leftChars="16" w:left="34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</w:p>
        </w:tc>
      </w:tr>
      <w:tr w:rsidR="00A04241" w14:paraId="1973B1FF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6B136DF0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考核方式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6D6D9F" w14:textId="77777777" w:rsidR="00A04241" w:rsidRDefault="00381208">
            <w:pPr>
              <w:snapToGrid w:val="0"/>
              <w:spacing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考试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135A14" w14:textId="77777777" w:rsidR="00A04241" w:rsidRDefault="00A04241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</w:p>
        </w:tc>
      </w:tr>
      <w:tr w:rsidR="00A04241" w14:paraId="542DFDA8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06803984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开课学期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B2113" w14:textId="77777777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7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学期</w:t>
            </w:r>
          </w:p>
        </w:tc>
        <w:tc>
          <w:tcPr>
            <w:tcW w:w="3843" w:type="dxa"/>
            <w:vMerge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A07826" w14:textId="77777777" w:rsidR="00A04241" w:rsidRDefault="00A04241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</w:p>
        </w:tc>
      </w:tr>
      <w:tr w:rsidR="00A04241" w14:paraId="7CE6F0D3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0368F28E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开课院系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DD314" w14:textId="311FDD46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德语</w:t>
            </w:r>
            <w:r w:rsidR="009C144E"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学院</w:t>
            </w:r>
          </w:p>
        </w:tc>
        <w:tc>
          <w:tcPr>
            <w:tcW w:w="3843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78786" w14:textId="77777777" w:rsidR="00A04241" w:rsidRDefault="00A04241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</w:p>
        </w:tc>
      </w:tr>
      <w:tr w:rsidR="00A04241" w14:paraId="1FB06B6C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42B1C3FD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适用专业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8AC22" w14:textId="77777777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德语</w:t>
            </w:r>
          </w:p>
        </w:tc>
      </w:tr>
      <w:tr w:rsidR="00A04241" w14:paraId="6F11130D" w14:textId="77777777">
        <w:tc>
          <w:tcPr>
            <w:tcW w:w="1565" w:type="dxa"/>
            <w:tcMar>
              <w:left w:w="0" w:type="dxa"/>
              <w:right w:w="0" w:type="dxa"/>
            </w:tcMar>
            <w:vAlign w:val="center"/>
          </w:tcPr>
          <w:p w14:paraId="4E15C442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编制时间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6F065" w14:textId="146CAAA8" w:rsidR="00A04241" w:rsidRDefault="00381208">
            <w:pPr>
              <w:snapToGrid w:val="0"/>
              <w:spacing w:beforeLines="25" w:before="78" w:line="276" w:lineRule="auto"/>
              <w:ind w:leftChars="16" w:left="34"/>
              <w:jc w:val="left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202</w:t>
            </w:r>
            <w:r w:rsidR="009278AC"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年</w:t>
            </w:r>
            <w:r w:rsidR="007643FD">
              <w:rPr>
                <w:rFonts w:ascii="Times New Roman" w:eastAsia="宋体" w:hAnsi="Times New Roman" w:cs="Times New Roman"/>
                <w:color w:val="000000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月</w:t>
            </w:r>
            <w:r w:rsidR="009278AC"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1</w:t>
            </w:r>
            <w:r w:rsidR="009278AC"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0</w:t>
            </w:r>
            <w:r w:rsidR="009278AC"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日</w:t>
            </w:r>
          </w:p>
        </w:tc>
      </w:tr>
      <w:tr w:rsidR="00A04241" w14:paraId="242448FB" w14:textId="77777777">
        <w:tc>
          <w:tcPr>
            <w:tcW w:w="8810" w:type="dxa"/>
            <w:gridSpan w:val="3"/>
            <w:tcMar>
              <w:left w:w="57" w:type="dxa"/>
              <w:right w:w="57" w:type="dxa"/>
            </w:tcMar>
            <w:vAlign w:val="center"/>
          </w:tcPr>
          <w:p w14:paraId="7D14DB0C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黑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黑体" w:hAnsi="Times New Roman" w:cs="Times New Roman"/>
                <w:color w:val="000000"/>
                <w:szCs w:val="21"/>
                <w:lang w:val="en-US"/>
              </w:rPr>
              <w:t>课程教材与学习资源</w:t>
            </w:r>
          </w:p>
        </w:tc>
      </w:tr>
      <w:tr w:rsidR="00A04241" w14:paraId="66743D04" w14:textId="77777777">
        <w:tc>
          <w:tcPr>
            <w:tcW w:w="156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109522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参考教材</w:t>
            </w:r>
          </w:p>
        </w:tc>
        <w:tc>
          <w:tcPr>
            <w:tcW w:w="7245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360BEC" w14:textId="77777777" w:rsidR="00A04241" w:rsidRDefault="00381208">
            <w:pPr>
              <w:spacing w:line="276" w:lineRule="auto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韩瑞祥（编）：《德语文学选集》，北京：外语教学与研究出版社，</w:t>
            </w:r>
            <w:r>
              <w:rPr>
                <w:rFonts w:ascii="Times New Roman" w:hAnsi="Times New Roman" w:cs="Times New Roman"/>
                <w:szCs w:val="21"/>
              </w:rPr>
              <w:t>2004</w:t>
            </w:r>
            <w:r>
              <w:rPr>
                <w:rFonts w:ascii="Times New Roman" w:hAnsi="Times New Roman" w:cs="Times New Roman"/>
                <w:szCs w:val="21"/>
              </w:rPr>
              <w:t>年。</w:t>
            </w:r>
          </w:p>
        </w:tc>
      </w:tr>
      <w:tr w:rsidR="00A04241" w14:paraId="2A141BDA" w14:textId="77777777">
        <w:trPr>
          <w:trHeight w:val="4162"/>
        </w:trPr>
        <w:tc>
          <w:tcPr>
            <w:tcW w:w="156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55ABF5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教学参考资料及其他学习资源</w:t>
            </w:r>
          </w:p>
        </w:tc>
        <w:tc>
          <w:tcPr>
            <w:tcW w:w="724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27FE4" w14:textId="6F25D14C" w:rsidR="00A04241" w:rsidRDefault="00381208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Times New Roman" w:hAnsi="Times New Roman" w:cs="Times New Roman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Becker, Sabina/Hummel, Christine/Sander, Gabriele: </w:t>
            </w:r>
            <w:r>
              <w:rPr>
                <w:rFonts w:ascii="Times New Roman" w:hAnsi="Times New Roman" w:cs="Times New Roman"/>
                <w:i/>
                <w:iCs/>
                <w:szCs w:val="21"/>
                <w:lang w:val="de-DE"/>
              </w:rPr>
              <w:t>Grundkurs Literaturwissenschaft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>. Stuttgart</w:t>
            </w:r>
            <w:r w:rsidR="007643FD">
              <w:rPr>
                <w:rFonts w:ascii="Times New Roman" w:hAnsi="Times New Roman" w:cs="Times New Roman"/>
                <w:szCs w:val="21"/>
                <w:lang w:val="de-DE"/>
              </w:rPr>
              <w:t>: Reclam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 2006.</w:t>
            </w:r>
          </w:p>
          <w:p w14:paraId="1BE115E9" w14:textId="6ACF9307" w:rsidR="00A04241" w:rsidRDefault="00381208">
            <w:pPr>
              <w:pStyle w:val="a8"/>
              <w:numPr>
                <w:ilvl w:val="0"/>
                <w:numId w:val="1"/>
              </w:numPr>
              <w:snapToGrid w:val="0"/>
              <w:spacing w:line="276" w:lineRule="auto"/>
              <w:ind w:firstLineChars="0"/>
              <w:rPr>
                <w:rFonts w:ascii="Times New Roman" w:hAnsi="Times New Roman" w:cs="Times New Roman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szCs w:val="21"/>
                <w:lang w:val="de-DE"/>
              </w:rPr>
              <w:t>Beutin, Wolfgang/</w:t>
            </w:r>
            <w:proofErr w:type="spellStart"/>
            <w:r>
              <w:rPr>
                <w:rFonts w:ascii="Times New Roman" w:hAnsi="Times New Roman" w:cs="Times New Roman"/>
                <w:szCs w:val="21"/>
                <w:lang w:val="de-DE"/>
              </w:rPr>
              <w:t>Beilein</w:t>
            </w:r>
            <w:proofErr w:type="spellEnd"/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, Matthias/Ehlert, Klaus et al.: </w:t>
            </w:r>
            <w:r>
              <w:rPr>
                <w:rFonts w:ascii="Times New Roman" w:hAnsi="Times New Roman" w:cs="Times New Roman"/>
                <w:i/>
                <w:szCs w:val="21"/>
                <w:lang w:val="de-DE"/>
              </w:rPr>
              <w:t>Deutsche Literaturgeschichte. Von den Anfängen bis zur Gegenwart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>. 8., aktualisierte und erweiterte Aufl., Stuttgart/Weimar</w:t>
            </w:r>
            <w:r w:rsidR="007643FD">
              <w:rPr>
                <w:rFonts w:ascii="Times New Roman" w:hAnsi="Times New Roman" w:cs="Times New Roman"/>
                <w:szCs w:val="21"/>
                <w:lang w:val="de-DE"/>
              </w:rPr>
              <w:t>: J. B. Metzler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 2013.</w:t>
            </w:r>
          </w:p>
          <w:p w14:paraId="25125B72" w14:textId="0A6E8D4C" w:rsidR="00A04241" w:rsidRDefault="00381208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Times New Roman" w:hAnsi="Times New Roman" w:cs="Times New Roman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Burdorf, </w:t>
            </w:r>
            <w:proofErr w:type="spellStart"/>
            <w:r>
              <w:rPr>
                <w:rFonts w:ascii="Times New Roman" w:hAnsi="Times New Roman" w:cs="Times New Roman"/>
                <w:szCs w:val="21"/>
                <w:lang w:val="de-DE"/>
              </w:rPr>
              <w:t>Gieter</w:t>
            </w:r>
            <w:proofErr w:type="spellEnd"/>
            <w:r>
              <w:rPr>
                <w:rFonts w:ascii="Times New Roman" w:hAnsi="Times New Roman" w:cs="Times New Roman"/>
                <w:szCs w:val="21"/>
                <w:lang w:val="de-DE"/>
              </w:rPr>
              <w:t>/Fasbender, Christoph/</w:t>
            </w:r>
            <w:proofErr w:type="spellStart"/>
            <w:r>
              <w:rPr>
                <w:rFonts w:ascii="Times New Roman" w:hAnsi="Times New Roman" w:cs="Times New Roman"/>
                <w:szCs w:val="21"/>
                <w:lang w:val="de-DE"/>
              </w:rPr>
              <w:t>Moennighoff</w:t>
            </w:r>
            <w:proofErr w:type="spellEnd"/>
            <w:r>
              <w:rPr>
                <w:rFonts w:ascii="Times New Roman" w:hAnsi="Times New Roman" w:cs="Times New Roman"/>
                <w:szCs w:val="21"/>
                <w:lang w:val="de-DE"/>
              </w:rPr>
              <w:t>, Burkhard (Hrsg.): Metzler Lexikon: Literatur. 3. völlig neu bearbeitete Aufl., Stuttgart</w:t>
            </w:r>
            <w:r w:rsidR="007643FD">
              <w:rPr>
                <w:rFonts w:ascii="Times New Roman" w:hAnsi="Times New Roman" w:cs="Times New Roman"/>
                <w:szCs w:val="21"/>
                <w:lang w:val="de-DE"/>
              </w:rPr>
              <w:t>: J. B. Metzler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 xml:space="preserve"> 2007.</w:t>
            </w:r>
          </w:p>
          <w:p w14:paraId="70DB59E2" w14:textId="11E761DD" w:rsidR="00A04241" w:rsidRDefault="007643FD">
            <w:pPr>
              <w:pStyle w:val="a8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1"/>
                <w:lang w:val="de-DE"/>
              </w:rPr>
            </w:pPr>
            <w:r>
              <w:rPr>
                <w:rFonts w:ascii="Times New Roman" w:hAnsi="Times New Roman" w:cs="Times New Roman" w:hint="eastAsia"/>
                <w:szCs w:val="21"/>
                <w:lang w:val="de-DE"/>
              </w:rPr>
              <w:t>《中国文化常识》</w:t>
            </w:r>
            <w:r w:rsidR="00E414FE">
              <w:rPr>
                <w:rFonts w:ascii="Times New Roman" w:hAnsi="Times New Roman" w:cs="Times New Roman" w:hint="eastAsia"/>
                <w:szCs w:val="21"/>
                <w:lang w:val="de-DE"/>
              </w:rPr>
              <w:t>（中德对照）</w:t>
            </w:r>
            <w:r>
              <w:rPr>
                <w:rFonts w:ascii="Times New Roman" w:hAnsi="Times New Roman" w:cs="Times New Roman" w:hint="eastAsia"/>
                <w:szCs w:val="21"/>
                <w:lang w:val="de-DE"/>
              </w:rPr>
              <w:t>，北京：高等教育出版社，</w:t>
            </w:r>
            <w:r>
              <w:rPr>
                <w:rFonts w:ascii="Times New Roman" w:hAnsi="Times New Roman" w:cs="Times New Roman" w:hint="eastAsia"/>
                <w:szCs w:val="21"/>
                <w:lang w:val="de-DE"/>
              </w:rPr>
              <w:t>2</w:t>
            </w:r>
            <w:r>
              <w:rPr>
                <w:rFonts w:ascii="Times New Roman" w:hAnsi="Times New Roman" w:cs="Times New Roman"/>
                <w:szCs w:val="21"/>
                <w:lang w:val="de-DE"/>
              </w:rPr>
              <w:t>007</w:t>
            </w:r>
            <w:r>
              <w:rPr>
                <w:rFonts w:ascii="Times New Roman" w:hAnsi="Times New Roman" w:cs="Times New Roman" w:hint="eastAsia"/>
                <w:szCs w:val="21"/>
                <w:lang w:val="de-DE"/>
              </w:rPr>
              <w:t>年。</w:t>
            </w:r>
          </w:p>
        </w:tc>
      </w:tr>
      <w:tr w:rsidR="00A04241" w14:paraId="42B1B314" w14:textId="77777777">
        <w:trPr>
          <w:trHeight w:val="339"/>
        </w:trPr>
        <w:tc>
          <w:tcPr>
            <w:tcW w:w="881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D51A3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黑体" w:hAnsi="Times New Roman" w:cs="Times New Roman"/>
                <w:color w:val="000000"/>
                <w:szCs w:val="21"/>
                <w:lang w:val="en-US"/>
              </w:rPr>
              <w:t>大纲编制人及责任人信息</w:t>
            </w:r>
          </w:p>
        </w:tc>
      </w:tr>
      <w:tr w:rsidR="00A04241" w14:paraId="5CFA9D3C" w14:textId="7777777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FF071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大纲编制人员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27E149" w14:textId="1F2255B9" w:rsidR="00A04241" w:rsidRDefault="009278AC">
            <w:pPr>
              <w:snapToGrid w:val="0"/>
              <w:spacing w:beforeLines="25" w:before="78" w:line="276" w:lineRule="auto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郑萌芽</w:t>
            </w:r>
          </w:p>
        </w:tc>
      </w:tr>
      <w:tr w:rsidR="00A04241" w14:paraId="04B13B9C" w14:textId="7777777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F0055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审核负责人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6C882E" w14:textId="2C20CB3D" w:rsidR="00A04241" w:rsidRDefault="009278AC">
            <w:pPr>
              <w:snapToGrid w:val="0"/>
              <w:spacing w:beforeLines="25" w:before="78" w:line="276" w:lineRule="auto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1"/>
                <w:lang w:val="en-US"/>
              </w:rPr>
              <w:t>张赟</w:t>
            </w:r>
          </w:p>
        </w:tc>
      </w:tr>
      <w:tr w:rsidR="00A04241" w14:paraId="54BC2D55" w14:textId="77777777"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87C8E" w14:textId="77777777" w:rsidR="00A04241" w:rsidRDefault="00381208">
            <w:pPr>
              <w:snapToGrid w:val="0"/>
              <w:spacing w:beforeLines="25" w:before="78" w:line="276" w:lineRule="auto"/>
              <w:jc w:val="center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审定负责人</w:t>
            </w:r>
          </w:p>
        </w:tc>
        <w:tc>
          <w:tcPr>
            <w:tcW w:w="7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DF25DB" w14:textId="77777777" w:rsidR="00A04241" w:rsidRDefault="00381208">
            <w:pPr>
              <w:snapToGrid w:val="0"/>
              <w:spacing w:beforeLines="25" w:before="78" w:line="276" w:lineRule="auto"/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  <w:lang w:val="en-US"/>
              </w:rPr>
              <w:t>李大雪</w:t>
            </w:r>
          </w:p>
        </w:tc>
      </w:tr>
    </w:tbl>
    <w:p w14:paraId="5223E980" w14:textId="77777777" w:rsidR="00A04241" w:rsidRDefault="00A04241">
      <w:pPr>
        <w:snapToGrid w:val="0"/>
        <w:spacing w:line="276" w:lineRule="auto"/>
        <w:rPr>
          <w:rFonts w:ascii="Times New Roman" w:eastAsia="黑体" w:hAnsi="Times New Roman" w:cs="Times New Roman"/>
          <w:color w:val="000000"/>
          <w:sz w:val="24"/>
          <w:szCs w:val="24"/>
          <w:lang w:val="en-US"/>
        </w:rPr>
      </w:pPr>
    </w:p>
    <w:p w14:paraId="46C1A240" w14:textId="77777777" w:rsidR="00A04241" w:rsidRDefault="00381208">
      <w:pPr>
        <w:widowControl/>
        <w:spacing w:line="276" w:lineRule="auto"/>
        <w:jc w:val="left"/>
        <w:rPr>
          <w:rFonts w:ascii="Times New Roman" w:eastAsia="黑体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黑体" w:hAnsi="Times New Roman" w:cs="Times New Roman"/>
          <w:color w:val="000000"/>
          <w:sz w:val="24"/>
          <w:szCs w:val="24"/>
          <w:lang w:val="en-US"/>
        </w:rPr>
        <w:br w:type="page"/>
      </w:r>
    </w:p>
    <w:p w14:paraId="0D7A476C" w14:textId="77777777" w:rsidR="00A04241" w:rsidRDefault="00381208">
      <w:pPr>
        <w:snapToGrid w:val="0"/>
        <w:spacing w:line="276" w:lineRule="auto"/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  <w:lastRenderedPageBreak/>
        <w:t>二、课程目标与任务</w:t>
      </w:r>
    </w:p>
    <w:p w14:paraId="2712A95E" w14:textId="115064BB" w:rsidR="00A04241" w:rsidRDefault="00381208" w:rsidP="00E414FE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本课程是</w:t>
      </w:r>
      <w:r w:rsidR="00D97B96">
        <w:rPr>
          <w:rFonts w:ascii="Times New Roman" w:hAnsi="Times New Roman" w:cs="Times New Roman" w:hint="eastAsia"/>
          <w:szCs w:val="21"/>
        </w:rPr>
        <w:t>高等院校</w:t>
      </w:r>
      <w:r>
        <w:rPr>
          <w:rFonts w:ascii="Times New Roman" w:hAnsi="Times New Roman" w:cs="Times New Roman"/>
          <w:szCs w:val="21"/>
        </w:rPr>
        <w:t>德语专业</w:t>
      </w:r>
      <w:r w:rsidR="00D97B96">
        <w:rPr>
          <w:rFonts w:ascii="Times New Roman" w:hAnsi="Times New Roman" w:cs="Times New Roman" w:hint="eastAsia"/>
          <w:szCs w:val="21"/>
        </w:rPr>
        <w:t>高级阶段</w:t>
      </w:r>
      <w:r>
        <w:rPr>
          <w:rFonts w:ascii="Times New Roman" w:hAnsi="Times New Roman" w:cs="Times New Roman"/>
          <w:szCs w:val="21"/>
        </w:rPr>
        <w:t>的一门</w:t>
      </w:r>
      <w:r w:rsidR="00D97B96">
        <w:rPr>
          <w:rFonts w:ascii="Times New Roman" w:hAnsi="Times New Roman" w:cs="Times New Roman" w:hint="eastAsia"/>
          <w:szCs w:val="21"/>
        </w:rPr>
        <w:t>发展</w:t>
      </w:r>
      <w:r>
        <w:rPr>
          <w:rFonts w:ascii="Times New Roman" w:hAnsi="Times New Roman" w:cs="Times New Roman"/>
          <w:szCs w:val="21"/>
        </w:rPr>
        <w:t>课程</w:t>
      </w:r>
      <w:r w:rsidR="00D97B96">
        <w:rPr>
          <w:rFonts w:ascii="Times New Roman" w:hAnsi="Times New Roman" w:cs="Times New Roman" w:hint="eastAsia"/>
          <w:szCs w:val="21"/>
        </w:rPr>
        <w:t>。本课程</w:t>
      </w:r>
      <w:r>
        <w:rPr>
          <w:rFonts w:ascii="Times New Roman" w:hAnsi="Times New Roman" w:cs="Times New Roman"/>
          <w:szCs w:val="21"/>
        </w:rPr>
        <w:t>在学生掌握一定的德语语言知识和技能</w:t>
      </w:r>
      <w:r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  <w:lang w:val="en-US"/>
        </w:rPr>
        <w:t>熟悉德语文学史</w:t>
      </w:r>
      <w:r>
        <w:rPr>
          <w:rFonts w:ascii="Times New Roman" w:hAnsi="Times New Roman" w:cs="Times New Roman"/>
          <w:szCs w:val="21"/>
        </w:rPr>
        <w:t>的基础上，</w:t>
      </w:r>
      <w:r w:rsidR="00D97B96">
        <w:rPr>
          <w:rFonts w:ascii="Times New Roman" w:hAnsi="Times New Roman" w:cs="Times New Roman" w:hint="eastAsia"/>
          <w:szCs w:val="21"/>
        </w:rPr>
        <w:t>引入一些西方现代文学理论，并</w:t>
      </w:r>
      <w:r>
        <w:rPr>
          <w:rFonts w:ascii="Times New Roman" w:hAnsi="Times New Roman" w:cs="Times New Roman"/>
          <w:szCs w:val="21"/>
        </w:rPr>
        <w:t>重点介绍</w:t>
      </w:r>
      <w:r w:rsidR="00007A28">
        <w:rPr>
          <w:rFonts w:ascii="Times New Roman" w:hAnsi="Times New Roman" w:cs="Times New Roman" w:hint="eastAsia"/>
          <w:szCs w:val="21"/>
        </w:rPr>
        <w:t>分析</w:t>
      </w:r>
      <w:r>
        <w:rPr>
          <w:rFonts w:ascii="Times New Roman" w:hAnsi="Times New Roman" w:cs="Times New Roman"/>
          <w:szCs w:val="21"/>
        </w:rPr>
        <w:t>德语文学作品的基本方法。</w:t>
      </w:r>
      <w:r w:rsidR="00D97B96">
        <w:rPr>
          <w:rFonts w:ascii="Times New Roman" w:hAnsi="Times New Roman" w:cs="Times New Roman" w:hint="eastAsia"/>
          <w:szCs w:val="21"/>
        </w:rPr>
        <w:t>本课程</w:t>
      </w:r>
      <w:r>
        <w:rPr>
          <w:rFonts w:ascii="Times New Roman" w:hAnsi="Times New Roman" w:cs="Times New Roman" w:hint="eastAsia"/>
          <w:szCs w:val="21"/>
          <w:lang w:val="en-US"/>
        </w:rPr>
        <w:t>在</w:t>
      </w:r>
      <w:r>
        <w:rPr>
          <w:rFonts w:ascii="Times New Roman" w:hAnsi="Times New Roman" w:cs="Times New Roman"/>
          <w:szCs w:val="21"/>
        </w:rPr>
        <w:t>引导学生进行文本分析实践</w:t>
      </w:r>
      <w:r>
        <w:rPr>
          <w:rFonts w:ascii="Times New Roman" w:hAnsi="Times New Roman" w:cs="Times New Roman" w:hint="eastAsia"/>
          <w:szCs w:val="21"/>
          <w:lang w:val="en-US"/>
        </w:rPr>
        <w:t>时，</w:t>
      </w:r>
      <w:r w:rsidR="00D97B96">
        <w:rPr>
          <w:rFonts w:ascii="Times New Roman" w:hAnsi="Times New Roman" w:cs="Times New Roman" w:hint="eastAsia"/>
          <w:szCs w:val="21"/>
          <w:lang w:val="en-US"/>
        </w:rPr>
        <w:t>着重</w:t>
      </w:r>
      <w:r>
        <w:rPr>
          <w:rFonts w:ascii="Times New Roman" w:hAnsi="Times New Roman" w:cs="Times New Roman"/>
          <w:szCs w:val="21"/>
        </w:rPr>
        <w:t>培养和训练学生阅读分析</w:t>
      </w:r>
      <w:r w:rsidR="00E414FE">
        <w:rPr>
          <w:rFonts w:ascii="Times New Roman" w:hAnsi="Times New Roman" w:cs="Times New Roman" w:hint="eastAsia"/>
          <w:szCs w:val="21"/>
        </w:rPr>
        <w:t>德语</w:t>
      </w:r>
      <w:r>
        <w:rPr>
          <w:rFonts w:ascii="Times New Roman" w:hAnsi="Times New Roman" w:cs="Times New Roman"/>
          <w:szCs w:val="21"/>
        </w:rPr>
        <w:t>文学作品的能力</w:t>
      </w:r>
      <w:r w:rsidR="00D97B96">
        <w:rPr>
          <w:rFonts w:ascii="Times New Roman" w:hAnsi="Times New Roman" w:cs="Times New Roman" w:hint="eastAsia"/>
          <w:szCs w:val="21"/>
        </w:rPr>
        <w:t>和逻辑思维能力</w:t>
      </w:r>
      <w:r>
        <w:rPr>
          <w:rFonts w:ascii="Times New Roman" w:hAnsi="Times New Roman" w:cs="Times New Roman"/>
          <w:szCs w:val="21"/>
        </w:rPr>
        <w:t>，让学生在提高德语阅读</w:t>
      </w:r>
      <w:r>
        <w:rPr>
          <w:rFonts w:ascii="Times New Roman" w:hAnsi="Times New Roman" w:cs="Times New Roman" w:hint="eastAsia"/>
          <w:szCs w:val="21"/>
          <w:lang w:val="en-US"/>
        </w:rPr>
        <w:t>水平</w:t>
      </w:r>
      <w:r w:rsidR="00C44036">
        <w:rPr>
          <w:rFonts w:ascii="Times New Roman" w:hAnsi="Times New Roman" w:cs="Times New Roman" w:hint="eastAsia"/>
          <w:szCs w:val="21"/>
          <w:lang w:val="en-US"/>
        </w:rPr>
        <w:t>的</w:t>
      </w:r>
      <w:r>
        <w:rPr>
          <w:rFonts w:ascii="Times New Roman" w:hAnsi="Times New Roman" w:cs="Times New Roman"/>
          <w:szCs w:val="21"/>
        </w:rPr>
        <w:t>同时，能够</w:t>
      </w:r>
      <w:r>
        <w:rPr>
          <w:rFonts w:ascii="Times New Roman" w:hAnsi="Times New Roman" w:cs="Times New Roman" w:hint="eastAsia"/>
          <w:szCs w:val="21"/>
          <w:lang w:val="en-US"/>
        </w:rPr>
        <w:t>结合</w:t>
      </w:r>
      <w:r w:rsidR="00007A28">
        <w:rPr>
          <w:rFonts w:ascii="Times New Roman" w:hAnsi="Times New Roman" w:cs="Times New Roman" w:hint="eastAsia"/>
          <w:szCs w:val="21"/>
          <w:lang w:val="en-US"/>
        </w:rPr>
        <w:t>所学的理论</w:t>
      </w:r>
      <w:r w:rsidR="00C44036">
        <w:rPr>
          <w:rFonts w:ascii="Times New Roman" w:hAnsi="Times New Roman" w:cs="Times New Roman" w:hint="eastAsia"/>
          <w:szCs w:val="21"/>
          <w:lang w:val="en-US"/>
        </w:rPr>
        <w:t>和方法</w:t>
      </w:r>
      <w:r>
        <w:rPr>
          <w:rFonts w:ascii="Times New Roman" w:hAnsi="Times New Roman" w:cs="Times New Roman"/>
          <w:szCs w:val="21"/>
        </w:rPr>
        <w:t>对一部</w:t>
      </w:r>
      <w:r>
        <w:rPr>
          <w:rFonts w:ascii="Times New Roman" w:hAnsi="Times New Roman" w:cs="Times New Roman"/>
          <w:szCs w:val="21"/>
        </w:rPr>
        <w:t>/</w:t>
      </w:r>
      <w:proofErr w:type="gramStart"/>
      <w:r>
        <w:rPr>
          <w:rFonts w:ascii="Times New Roman" w:hAnsi="Times New Roman" w:cs="Times New Roman"/>
          <w:szCs w:val="21"/>
        </w:rPr>
        <w:t>篇文学</w:t>
      </w:r>
      <w:proofErr w:type="gramEnd"/>
      <w:r>
        <w:rPr>
          <w:rFonts w:ascii="Times New Roman" w:hAnsi="Times New Roman" w:cs="Times New Roman"/>
          <w:szCs w:val="21"/>
        </w:rPr>
        <w:t>作品进行合理的解读。</w:t>
      </w:r>
    </w:p>
    <w:p w14:paraId="26746374" w14:textId="36B2ADD2" w:rsidR="00691DBB" w:rsidRDefault="00E414FE" w:rsidP="00691DBB">
      <w:pPr>
        <w:spacing w:line="360" w:lineRule="auto"/>
        <w:ind w:firstLineChars="200" w:firstLine="420"/>
        <w:rPr>
          <w:rFonts w:ascii="AdobeHeitiStd-Regular" w:eastAsia="AdobeHeitiStd-Regular" w:cs="AdobeHeitiStd-Regular"/>
          <w:kern w:val="0"/>
          <w:szCs w:val="21"/>
          <w:lang w:val="en-US"/>
        </w:rPr>
      </w:pPr>
      <w:r>
        <w:rPr>
          <w:rFonts w:ascii="Times New Roman" w:hAnsi="Times New Roman" w:cs="Times New Roman" w:hint="eastAsia"/>
          <w:szCs w:val="21"/>
        </w:rPr>
        <w:t>除此以外，</w:t>
      </w:r>
      <w:r w:rsidR="00D97B96">
        <w:rPr>
          <w:rFonts w:ascii="Times New Roman" w:hAnsi="Times New Roman" w:cs="Times New Roman" w:hint="eastAsia"/>
          <w:szCs w:val="21"/>
        </w:rPr>
        <w:t>本课程还会引导学生关注中国文化对德国文学界的影响</w:t>
      </w:r>
      <w:r w:rsidR="00691DBB">
        <w:rPr>
          <w:rFonts w:ascii="Times New Roman" w:hAnsi="Times New Roman" w:cs="Times New Roman" w:hint="eastAsia"/>
          <w:szCs w:val="21"/>
        </w:rPr>
        <w:t>（例如选取布莱希特的《老子流亡路上著</w:t>
      </w:r>
      <w:r w:rsidR="00691DBB" w:rsidRPr="00691DBB">
        <w:rPr>
          <w:rFonts w:ascii="Times New Roman" w:hAnsi="Times New Roman" w:cs="Times New Roman" w:hint="eastAsia"/>
          <w:szCs w:val="21"/>
          <w:lang w:val="en-US"/>
        </w:rPr>
        <w:t>〈</w:t>
      </w:r>
      <w:r w:rsidR="00691DBB">
        <w:rPr>
          <w:rFonts w:ascii="Times New Roman" w:hAnsi="Times New Roman" w:cs="Times New Roman" w:hint="eastAsia"/>
          <w:szCs w:val="21"/>
          <w:lang w:val="en-US"/>
        </w:rPr>
        <w:t>道德经</w:t>
      </w:r>
      <w:r w:rsidR="00691DBB" w:rsidRPr="00691DBB">
        <w:rPr>
          <w:rFonts w:ascii="Times New Roman" w:hAnsi="Times New Roman" w:cs="Times New Roman" w:hint="eastAsia"/>
          <w:szCs w:val="21"/>
          <w:lang w:val="en-US"/>
        </w:rPr>
        <w:t>〉</w:t>
      </w:r>
      <w:r w:rsidR="00691DBB">
        <w:rPr>
          <w:rFonts w:ascii="Times New Roman" w:hAnsi="Times New Roman" w:cs="Times New Roman" w:hint="eastAsia"/>
          <w:szCs w:val="21"/>
          <w:lang w:val="en-US"/>
        </w:rPr>
        <w:t>的传说</w:t>
      </w:r>
      <w:r w:rsidR="00691DBB">
        <w:rPr>
          <w:rFonts w:ascii="Times New Roman" w:hAnsi="Times New Roman" w:cs="Times New Roman" w:hint="eastAsia"/>
          <w:szCs w:val="21"/>
        </w:rPr>
        <w:t>》作为阅读文本，让学生理解</w:t>
      </w:r>
      <w:r w:rsidR="00D97B96">
        <w:rPr>
          <w:rFonts w:ascii="Times New Roman" w:hAnsi="Times New Roman" w:cs="Times New Roman" w:hint="eastAsia"/>
          <w:szCs w:val="21"/>
        </w:rPr>
        <w:t>《道德经》中的“柔弱胜刚强”这一思想</w:t>
      </w:r>
      <w:r w:rsidR="00691DBB">
        <w:rPr>
          <w:rFonts w:ascii="Times New Roman" w:hAnsi="Times New Roman" w:cs="Times New Roman" w:hint="eastAsia"/>
          <w:szCs w:val="21"/>
        </w:rPr>
        <w:t>对布莱希特创作的影响，同时让学生看到布莱希特如何借助中国文化</w:t>
      </w:r>
      <w:r w:rsidR="00C44036">
        <w:rPr>
          <w:rFonts w:ascii="Times New Roman" w:hAnsi="Times New Roman" w:cs="Times New Roman" w:hint="eastAsia"/>
          <w:szCs w:val="21"/>
        </w:rPr>
        <w:t>来</w:t>
      </w:r>
      <w:r w:rsidR="000324F0">
        <w:rPr>
          <w:rFonts w:ascii="Times New Roman" w:hAnsi="Times New Roman" w:cs="Times New Roman" w:hint="eastAsia"/>
          <w:szCs w:val="21"/>
        </w:rPr>
        <w:t>表达</w:t>
      </w:r>
      <w:r w:rsidR="00691DBB">
        <w:rPr>
          <w:rFonts w:ascii="Times New Roman" w:hAnsi="Times New Roman" w:cs="Times New Roman" w:hint="eastAsia"/>
          <w:szCs w:val="21"/>
        </w:rPr>
        <w:t>对反法西斯战争的思考。）</w:t>
      </w:r>
      <w:r w:rsidR="007538B5">
        <w:rPr>
          <w:rFonts w:ascii="Times New Roman" w:hAnsi="Times New Roman" w:cs="Times New Roman" w:hint="eastAsia"/>
          <w:szCs w:val="21"/>
        </w:rPr>
        <w:t>，让学生能够进一步</w:t>
      </w:r>
      <w:r w:rsidR="00A229D7">
        <w:rPr>
          <w:rFonts w:ascii="Times New Roman" w:hAnsi="Times New Roman" w:cs="Times New Roman" w:hint="eastAsia"/>
          <w:szCs w:val="21"/>
        </w:rPr>
        <w:t>认识到中国文化博大精深，</w:t>
      </w:r>
      <w:r w:rsidR="003450DA">
        <w:rPr>
          <w:rFonts w:ascii="Times New Roman" w:hAnsi="Times New Roman" w:cs="Times New Roman" w:hint="eastAsia"/>
          <w:szCs w:val="21"/>
        </w:rPr>
        <w:t>增强</w:t>
      </w:r>
      <w:r w:rsidR="00C44036">
        <w:rPr>
          <w:rFonts w:ascii="Times New Roman" w:hAnsi="Times New Roman" w:cs="Times New Roman" w:hint="eastAsia"/>
          <w:szCs w:val="21"/>
        </w:rPr>
        <w:t>对</w:t>
      </w:r>
      <w:r w:rsidR="00064C9F">
        <w:rPr>
          <w:rFonts w:ascii="Times New Roman" w:hAnsi="Times New Roman" w:cs="Times New Roman" w:hint="eastAsia"/>
          <w:szCs w:val="21"/>
        </w:rPr>
        <w:t>本民族</w:t>
      </w:r>
      <w:r w:rsidR="003450DA">
        <w:rPr>
          <w:rFonts w:ascii="Times New Roman" w:hAnsi="Times New Roman" w:cs="Times New Roman" w:hint="eastAsia"/>
          <w:szCs w:val="21"/>
        </w:rPr>
        <w:t>文化</w:t>
      </w:r>
      <w:r w:rsidR="00C44036">
        <w:rPr>
          <w:rFonts w:ascii="Times New Roman" w:hAnsi="Times New Roman" w:cs="Times New Roman" w:hint="eastAsia"/>
          <w:szCs w:val="21"/>
        </w:rPr>
        <w:t>的自信心和自豪感。</w:t>
      </w:r>
    </w:p>
    <w:p w14:paraId="26F8A465" w14:textId="54350551" w:rsidR="00A04241" w:rsidRPr="000324F0" w:rsidRDefault="00691DBB" w:rsidP="000324F0">
      <w:pPr>
        <w:spacing w:line="360" w:lineRule="auto"/>
        <w:rPr>
          <w:rFonts w:ascii="黑体" w:eastAsia="黑体" w:hAnsi="黑体" w:cs="Times New Roman"/>
          <w:color w:val="000000"/>
          <w:sz w:val="28"/>
          <w:szCs w:val="28"/>
          <w:lang w:val="en-US"/>
        </w:rPr>
      </w:pPr>
      <w:r w:rsidRPr="00691DBB">
        <w:rPr>
          <w:rFonts w:ascii="黑体" w:eastAsia="黑体" w:hAnsi="黑体" w:cs="AdobeHeitiStd-Regular" w:hint="eastAsia"/>
          <w:kern w:val="0"/>
          <w:sz w:val="28"/>
          <w:szCs w:val="28"/>
          <w:lang w:val="en-US"/>
        </w:rPr>
        <w:t>三、</w:t>
      </w:r>
      <w:r w:rsidR="00381208" w:rsidRPr="00691DBB">
        <w:rPr>
          <w:rFonts w:ascii="黑体" w:eastAsia="黑体" w:hAnsi="黑体" w:cs="Times New Roman"/>
          <w:color w:val="000000"/>
          <w:sz w:val="28"/>
          <w:szCs w:val="28"/>
          <w:lang w:val="en-US"/>
        </w:rPr>
        <w:t>课程主要内容、要求及学时分配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30"/>
        <w:gridCol w:w="2648"/>
        <w:gridCol w:w="3444"/>
        <w:gridCol w:w="1055"/>
      </w:tblGrid>
      <w:tr w:rsidR="00A04241" w14:paraId="39D7325A" w14:textId="77777777">
        <w:tc>
          <w:tcPr>
            <w:tcW w:w="1665" w:type="dxa"/>
          </w:tcPr>
          <w:p w14:paraId="2BC78F09" w14:textId="77777777" w:rsidR="00A04241" w:rsidRDefault="00A04241">
            <w:pPr>
              <w:spacing w:line="276" w:lineRule="auto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96" w:type="dxa"/>
          </w:tcPr>
          <w:p w14:paraId="21C705AB" w14:textId="77777777" w:rsidR="00A04241" w:rsidRDefault="00381208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主要内容</w:t>
            </w:r>
          </w:p>
        </w:tc>
        <w:tc>
          <w:tcPr>
            <w:tcW w:w="3544" w:type="dxa"/>
          </w:tcPr>
          <w:p w14:paraId="6B3129D7" w14:textId="77777777" w:rsidR="00A04241" w:rsidRDefault="00381208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基本要求</w:t>
            </w:r>
          </w:p>
        </w:tc>
        <w:tc>
          <w:tcPr>
            <w:tcW w:w="1098" w:type="dxa"/>
          </w:tcPr>
          <w:p w14:paraId="581F0A33" w14:textId="77777777" w:rsidR="00A04241" w:rsidRDefault="00381208">
            <w:pPr>
              <w:spacing w:line="276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学时分配</w:t>
            </w:r>
          </w:p>
        </w:tc>
      </w:tr>
      <w:tr w:rsidR="00A04241" w14:paraId="738C3CDD" w14:textId="77777777">
        <w:tc>
          <w:tcPr>
            <w:tcW w:w="1665" w:type="dxa"/>
          </w:tcPr>
          <w:p w14:paraId="70C7A26F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1. Sitzung</w:t>
            </w:r>
          </w:p>
        </w:tc>
        <w:tc>
          <w:tcPr>
            <w:tcW w:w="2696" w:type="dxa"/>
          </w:tcPr>
          <w:p w14:paraId="35AF7E1A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2885760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Einführung</w:t>
            </w:r>
          </w:p>
          <w:p w14:paraId="230CAD93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544" w:type="dxa"/>
          </w:tcPr>
          <w:p w14:paraId="1744F4AA" w14:textId="59879E96" w:rsidR="00A04241" w:rsidRPr="007538B5" w:rsidRDefault="00381208" w:rsidP="002811DE">
            <w:pPr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Vorstellen des Ziels in diesem Semester und Erklären der Vorgehensweise</w:t>
            </w:r>
          </w:p>
        </w:tc>
        <w:tc>
          <w:tcPr>
            <w:tcW w:w="1098" w:type="dxa"/>
          </w:tcPr>
          <w:p w14:paraId="23DEDC80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5DFAA4AC" w14:textId="419FA08B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6A610F70" w14:textId="77777777">
        <w:tc>
          <w:tcPr>
            <w:tcW w:w="1665" w:type="dxa"/>
          </w:tcPr>
          <w:p w14:paraId="6607D714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2. Sitzung</w:t>
            </w:r>
          </w:p>
        </w:tc>
        <w:tc>
          <w:tcPr>
            <w:tcW w:w="2696" w:type="dxa"/>
          </w:tcPr>
          <w:p w14:paraId="55D31094" w14:textId="4050B850" w:rsidR="00A04241" w:rsidRPr="00B64547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iCs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>Gotthold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  <w:lang w:val="en-US"/>
              </w:rPr>
              <w:t xml:space="preserve"> Ephraim Lessing: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  <w:lang w:val="en-US"/>
              </w:rPr>
              <w:t xml:space="preserve">Emilia Galotti.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Ein Trauerspiel in fünf Aufzügen</w:t>
            </w:r>
            <w:r w:rsidR="00B64547">
              <w:rPr>
                <w:rFonts w:ascii="Times New Roman" w:hAnsi="Times New Roman" w:cs="Times New Roman"/>
                <w:iCs/>
                <w:kern w:val="0"/>
                <w:szCs w:val="21"/>
              </w:rPr>
              <w:t>.</w:t>
            </w:r>
          </w:p>
          <w:p w14:paraId="1D2FD057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Im Unterricht: Zweiter Aufzug: Sechster und siebenter Auftritt.</w:t>
            </w:r>
          </w:p>
        </w:tc>
        <w:tc>
          <w:tcPr>
            <w:tcW w:w="3544" w:type="dxa"/>
          </w:tcPr>
          <w:p w14:paraId="4E585386" w14:textId="77777777" w:rsidR="00A04241" w:rsidRPr="007643FD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 des ganzen Dramas</w:t>
            </w:r>
            <w:r w:rsidRPr="007643FD">
              <w:rPr>
                <w:rFonts w:ascii="Times New Roman" w:hAnsi="Times New Roman" w:cs="Times New Roman" w:hint="eastAsia"/>
                <w:kern w:val="0"/>
                <w:szCs w:val="21"/>
              </w:rPr>
              <w:t>;</w:t>
            </w:r>
          </w:p>
          <w:p w14:paraId="2D89252E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Sprachverhalten von Mutter und Tochter im Hinblick auf „Sprache der Vernunft“ und „Sprache des Herzens“;</w:t>
            </w:r>
          </w:p>
          <w:p w14:paraId="016425F7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bürgerliche Familie der damaligen Zeit.</w:t>
            </w:r>
          </w:p>
        </w:tc>
        <w:tc>
          <w:tcPr>
            <w:tcW w:w="1098" w:type="dxa"/>
          </w:tcPr>
          <w:p w14:paraId="084039BC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8BE5DA5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33B2B89C" w14:textId="22F3A99B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7E94FA50" w14:textId="77777777">
        <w:tc>
          <w:tcPr>
            <w:tcW w:w="1665" w:type="dxa"/>
          </w:tcPr>
          <w:p w14:paraId="289A2291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3. Sitzung</w:t>
            </w:r>
          </w:p>
        </w:tc>
        <w:tc>
          <w:tcPr>
            <w:tcW w:w="2696" w:type="dxa"/>
          </w:tcPr>
          <w:p w14:paraId="3C2CD736" w14:textId="73BB9918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Lessing: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Nathan der Weise. Ein dramatisches Gedicht in fünf Aufzügen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. </w:t>
            </w:r>
          </w:p>
          <w:p w14:paraId="1F4917D9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Im Unterricht: Dritter Aufzug: Siebenter Auftritt.</w:t>
            </w:r>
          </w:p>
        </w:tc>
        <w:tc>
          <w:tcPr>
            <w:tcW w:w="3544" w:type="dxa"/>
          </w:tcPr>
          <w:p w14:paraId="5224A284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 des ganzen Dramas;</w:t>
            </w:r>
          </w:p>
          <w:p w14:paraId="627B951E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Der Begriff „Toleranz“ bei Lessing;</w:t>
            </w:r>
          </w:p>
          <w:p w14:paraId="3A1480B5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Die typischen </w:t>
            </w: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aufklärischen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Ideen in dem Text.</w:t>
            </w:r>
          </w:p>
        </w:tc>
        <w:tc>
          <w:tcPr>
            <w:tcW w:w="1098" w:type="dxa"/>
          </w:tcPr>
          <w:p w14:paraId="3F9A6D4E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2260231A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5D2F6726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2C04029D" w14:textId="77777777">
        <w:tc>
          <w:tcPr>
            <w:tcW w:w="1665" w:type="dxa"/>
          </w:tcPr>
          <w:p w14:paraId="3453C347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4. Sitzung</w:t>
            </w:r>
          </w:p>
        </w:tc>
        <w:tc>
          <w:tcPr>
            <w:tcW w:w="2696" w:type="dxa"/>
          </w:tcPr>
          <w:p w14:paraId="0C774A25" w14:textId="6BA00D22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Johann Wolfgang von Goethe: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Die Leiden des jungen Werthers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. </w:t>
            </w:r>
          </w:p>
          <w:p w14:paraId="57642EA1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Im Unterricht: Der Brief am 10. Mai und 18. August.</w:t>
            </w:r>
          </w:p>
        </w:tc>
        <w:tc>
          <w:tcPr>
            <w:tcW w:w="3544" w:type="dxa"/>
          </w:tcPr>
          <w:p w14:paraId="395DB161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 des ganzen Romans;</w:t>
            </w:r>
          </w:p>
          <w:p w14:paraId="5A6A966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in dem Text dargestellten Themen des „Sturm und Drang“.</w:t>
            </w:r>
          </w:p>
          <w:p w14:paraId="4617CD4C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Darstellung der Natur in den Textbeispielen.</w:t>
            </w:r>
          </w:p>
        </w:tc>
        <w:tc>
          <w:tcPr>
            <w:tcW w:w="1098" w:type="dxa"/>
          </w:tcPr>
          <w:p w14:paraId="1A2BB015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190ED672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69458B75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4A6F9EA8" w14:textId="77777777">
        <w:tc>
          <w:tcPr>
            <w:tcW w:w="1665" w:type="dxa"/>
          </w:tcPr>
          <w:p w14:paraId="30E50539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5. Sitzung</w:t>
            </w:r>
          </w:p>
        </w:tc>
        <w:tc>
          <w:tcPr>
            <w:tcW w:w="2696" w:type="dxa"/>
          </w:tcPr>
          <w:p w14:paraId="5D061A6C" w14:textId="7624D30D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Goethe: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Prometheus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3544" w:type="dxa"/>
          </w:tcPr>
          <w:p w14:paraId="4E307C59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Inhaltsangabe;</w:t>
            </w:r>
          </w:p>
          <w:p w14:paraId="351F376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Beziehungen zwischen Prometheus und Zeus;</w:t>
            </w:r>
          </w:p>
          <w:p w14:paraId="4A00CE6B" w14:textId="42DBC738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Die typischen Ideen des „Sturm und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lastRenderedPageBreak/>
              <w:t>Drang“ in dem Text.</w:t>
            </w:r>
          </w:p>
        </w:tc>
        <w:tc>
          <w:tcPr>
            <w:tcW w:w="1098" w:type="dxa"/>
          </w:tcPr>
          <w:p w14:paraId="1BFBBB7C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23544B02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 w14:paraId="73CE3FB9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A04241" w14:paraId="71145E0D" w14:textId="77777777">
        <w:tc>
          <w:tcPr>
            <w:tcW w:w="1665" w:type="dxa"/>
          </w:tcPr>
          <w:p w14:paraId="37267603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6. Sitzung</w:t>
            </w:r>
          </w:p>
        </w:tc>
        <w:tc>
          <w:tcPr>
            <w:tcW w:w="2696" w:type="dxa"/>
          </w:tcPr>
          <w:p w14:paraId="598A28E8" w14:textId="78E5D143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Wilhelm Heinrich Wackenroder /Ludwig Tieck: </w:t>
            </w:r>
            <w:r w:rsidRPr="00B64547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Herzensergießungen eines kunstliebenden Klosterbruders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  <w:p w14:paraId="245021A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Im Unterricht: Das merkwürdige musikalische Leben des Tonkünstlers Joseph Berglinger.</w:t>
            </w:r>
          </w:p>
        </w:tc>
        <w:tc>
          <w:tcPr>
            <w:tcW w:w="3544" w:type="dxa"/>
          </w:tcPr>
          <w:p w14:paraId="3126CCB2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 des ganzen Buches;</w:t>
            </w:r>
          </w:p>
          <w:p w14:paraId="38878CC6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typischen frühromantischen Merkmale in dem Text;</w:t>
            </w:r>
          </w:p>
          <w:p w14:paraId="4330660A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Kunst-Bild;</w:t>
            </w:r>
          </w:p>
          <w:p w14:paraId="32C76CDE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Der Künstler-Roman.</w:t>
            </w:r>
          </w:p>
        </w:tc>
        <w:tc>
          <w:tcPr>
            <w:tcW w:w="1098" w:type="dxa"/>
          </w:tcPr>
          <w:p w14:paraId="27A85552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FDDE800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F1A578F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309E0A0D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39F46D5D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18F7D97C" w14:textId="77777777">
        <w:tc>
          <w:tcPr>
            <w:tcW w:w="1665" w:type="dxa"/>
          </w:tcPr>
          <w:p w14:paraId="35690DB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7. Sitzung</w:t>
            </w:r>
          </w:p>
        </w:tc>
        <w:tc>
          <w:tcPr>
            <w:tcW w:w="2696" w:type="dxa"/>
          </w:tcPr>
          <w:p w14:paraId="1A3EE13F" w14:textId="5B0EE136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Tieck: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Der blonde Eckbert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3544" w:type="dxa"/>
          </w:tcPr>
          <w:p w14:paraId="7953EC39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Inhaltsangabe;</w:t>
            </w:r>
          </w:p>
          <w:p w14:paraId="239A4BB5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Volksmärchen und Kunstmärchen;</w:t>
            </w:r>
          </w:p>
          <w:p w14:paraId="7157221D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Alltägliche und das Wunderbare;</w:t>
            </w:r>
          </w:p>
          <w:p w14:paraId="36C497B0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Waldeinsamkeit der deutschen Romantik;</w:t>
            </w:r>
          </w:p>
        </w:tc>
        <w:tc>
          <w:tcPr>
            <w:tcW w:w="1098" w:type="dxa"/>
          </w:tcPr>
          <w:p w14:paraId="4D3AEBE9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0C052A32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2EFC1D2B" w14:textId="68792ECC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4B19B77F" w14:textId="77777777">
        <w:tc>
          <w:tcPr>
            <w:tcW w:w="1665" w:type="dxa"/>
          </w:tcPr>
          <w:p w14:paraId="775F1BDF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8. Sitzung</w:t>
            </w:r>
          </w:p>
        </w:tc>
        <w:tc>
          <w:tcPr>
            <w:tcW w:w="2696" w:type="dxa"/>
          </w:tcPr>
          <w:p w14:paraId="16BD3233" w14:textId="670C5305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Heinrich von Kleist: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Das Erdbeben in Chili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3544" w:type="dxa"/>
          </w:tcPr>
          <w:p w14:paraId="733B8F7D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Inhaltesangabe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>;</w:t>
            </w:r>
          </w:p>
          <w:p w14:paraId="4EFC9AC2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Merkmale der Novelle;</w:t>
            </w:r>
          </w:p>
          <w:p w14:paraId="4BC9D121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Die Funktionen des </w:t>
            </w:r>
            <w:proofErr w:type="spellStart"/>
            <w:r>
              <w:rPr>
                <w:rFonts w:ascii="Times New Roman" w:hAnsi="Times New Roman" w:cs="Times New Roman"/>
                <w:kern w:val="0"/>
                <w:szCs w:val="21"/>
              </w:rPr>
              <w:t>Erbebens</w:t>
            </w:r>
            <w:proofErr w:type="spellEnd"/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in dem Text.</w:t>
            </w:r>
          </w:p>
        </w:tc>
        <w:tc>
          <w:tcPr>
            <w:tcW w:w="1098" w:type="dxa"/>
          </w:tcPr>
          <w:p w14:paraId="1868B1DD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037C1AB8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73A0E766" w14:textId="77777777">
        <w:tc>
          <w:tcPr>
            <w:tcW w:w="1665" w:type="dxa"/>
          </w:tcPr>
          <w:p w14:paraId="34A154E2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9. Sitzung</w:t>
            </w:r>
          </w:p>
        </w:tc>
        <w:tc>
          <w:tcPr>
            <w:tcW w:w="2696" w:type="dxa"/>
          </w:tcPr>
          <w:p w14:paraId="2C424276" w14:textId="5ED9CE24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Theodor Storm: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Immensee</w:t>
            </w:r>
          </w:p>
        </w:tc>
        <w:tc>
          <w:tcPr>
            <w:tcW w:w="3544" w:type="dxa"/>
          </w:tcPr>
          <w:p w14:paraId="04FC72FA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Inhaltsangabe;</w:t>
            </w:r>
          </w:p>
          <w:p w14:paraId="63D38695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Schreibweise und Einstellung dieser Novelle im Sinne des bürgerlichen Realismus;</w:t>
            </w:r>
          </w:p>
          <w:p w14:paraId="44DEF0F3" w14:textId="3D306AB9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Symbol der Wasserlilie</w:t>
            </w:r>
            <w:r w:rsidR="002811DE"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1098" w:type="dxa"/>
          </w:tcPr>
          <w:p w14:paraId="37CE668E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04412BFB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53410038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 w14:paraId="7FB23B7B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A04241" w14:paraId="699F6DC4" w14:textId="77777777">
        <w:tc>
          <w:tcPr>
            <w:tcW w:w="1665" w:type="dxa"/>
          </w:tcPr>
          <w:p w14:paraId="7EDA2EDC" w14:textId="0CD30F9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10. S</w:t>
            </w:r>
            <w:r w:rsidR="00C37197">
              <w:rPr>
                <w:rFonts w:ascii="Times New Roman" w:hAnsi="Times New Roman" w:cs="Times New Roman"/>
                <w:kern w:val="0"/>
                <w:szCs w:val="21"/>
              </w:rPr>
              <w:t>itzung</w:t>
            </w:r>
          </w:p>
        </w:tc>
        <w:tc>
          <w:tcPr>
            <w:tcW w:w="2696" w:type="dxa"/>
          </w:tcPr>
          <w:p w14:paraId="1344A30A" w14:textId="64C6276C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Arthur Schnitzler: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Der Sohn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3544" w:type="dxa"/>
          </w:tcPr>
          <w:p w14:paraId="4B2F6683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Inhaltsangabe;</w:t>
            </w:r>
          </w:p>
          <w:p w14:paraId="747C8C0C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Der Begriff „Wahn“;</w:t>
            </w:r>
          </w:p>
          <w:p w14:paraId="6915AE1B" w14:textId="5EE033A6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Das Schuldgefühl von der Mutter</w:t>
            </w:r>
            <w:r w:rsidR="002811DE"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</w:tc>
        <w:tc>
          <w:tcPr>
            <w:tcW w:w="1098" w:type="dxa"/>
          </w:tcPr>
          <w:p w14:paraId="7FC5247C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4915B1B7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 w14:paraId="604F9F4E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A04241" w14:paraId="71D7BFC7" w14:textId="77777777">
        <w:tc>
          <w:tcPr>
            <w:tcW w:w="1665" w:type="dxa"/>
          </w:tcPr>
          <w:p w14:paraId="2442F0C4" w14:textId="0321FDCF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11.</w:t>
            </w:r>
            <w:r w:rsidR="00C37197">
              <w:rPr>
                <w:rFonts w:ascii="Times New Roman" w:hAnsi="Times New Roman" w:cs="Times New Roman"/>
                <w:kern w:val="0"/>
                <w:szCs w:val="21"/>
              </w:rPr>
              <w:t>Sitzung</w:t>
            </w:r>
          </w:p>
          <w:p w14:paraId="371B4CA5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96" w:type="dxa"/>
          </w:tcPr>
          <w:p w14:paraId="2ADD60F3" w14:textId="04768A50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Franz Kafka: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Die Verwandlung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. ( 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kern w:val="0"/>
                <w:szCs w:val="21"/>
              </w:rPr>
              <w:instrText xml:space="preserve"> = 1 \* ROMAN </w:instrTex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.)</w:t>
            </w:r>
          </w:p>
        </w:tc>
        <w:tc>
          <w:tcPr>
            <w:tcW w:w="3544" w:type="dxa"/>
          </w:tcPr>
          <w:p w14:paraId="09DD23F8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Inhaltsangabe;</w:t>
            </w:r>
          </w:p>
          <w:p w14:paraId="03B9A4D5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Kafkaesk</w:t>
            </w:r>
            <w:r>
              <w:rPr>
                <w:rFonts w:ascii="Times New Roman" w:hAnsi="Times New Roman" w:cs="Times New Roman" w:hint="eastAsia"/>
                <w:kern w:val="0"/>
                <w:szCs w:val="21"/>
                <w:lang w:val="en-US"/>
              </w:rPr>
              <w:t>.</w:t>
            </w:r>
          </w:p>
        </w:tc>
        <w:tc>
          <w:tcPr>
            <w:tcW w:w="1098" w:type="dxa"/>
          </w:tcPr>
          <w:p w14:paraId="03F53AA7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395C4D9C" w14:textId="77777777">
        <w:tc>
          <w:tcPr>
            <w:tcW w:w="1665" w:type="dxa"/>
          </w:tcPr>
          <w:p w14:paraId="7CE52E73" w14:textId="3AD31949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12. </w:t>
            </w:r>
            <w:r w:rsidR="00C37197">
              <w:rPr>
                <w:rFonts w:ascii="Times New Roman" w:hAnsi="Times New Roman" w:cs="Times New Roman"/>
                <w:kern w:val="0"/>
                <w:szCs w:val="21"/>
              </w:rPr>
              <w:t>Sitzung</w:t>
            </w:r>
          </w:p>
          <w:p w14:paraId="7F33E709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696" w:type="dxa"/>
          </w:tcPr>
          <w:p w14:paraId="05334ED1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Kafka: </w:t>
            </w:r>
            <w:r>
              <w:rPr>
                <w:rFonts w:ascii="Times New Roman" w:hAnsi="Times New Roman" w:cs="Times New Roman"/>
                <w:i/>
                <w:kern w:val="0"/>
                <w:szCs w:val="21"/>
              </w:rPr>
              <w:t>Die Verwandlung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 (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begin"/>
            </w:r>
            <w:r>
              <w:rPr>
                <w:rFonts w:ascii="Times New Roman" w:hAnsi="Times New Roman" w:cs="Times New Roman"/>
                <w:kern w:val="0"/>
                <w:szCs w:val="21"/>
              </w:rPr>
              <w:instrText xml:space="preserve"> = 2 \* ROMAN </w:instrTex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separate"/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II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fldChar w:fldCharType="end"/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.)</w:t>
            </w:r>
          </w:p>
        </w:tc>
        <w:tc>
          <w:tcPr>
            <w:tcW w:w="3544" w:type="dxa"/>
          </w:tcPr>
          <w:p w14:paraId="1C6355DC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Die Beziehungen zwischen dem Protagonisten und den anderen Familienmitgliedern;</w:t>
            </w:r>
          </w:p>
          <w:p w14:paraId="29E199A9" w14:textId="77777777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Der Begriff: Entfremdung;</w:t>
            </w:r>
          </w:p>
        </w:tc>
        <w:tc>
          <w:tcPr>
            <w:tcW w:w="1098" w:type="dxa"/>
          </w:tcPr>
          <w:p w14:paraId="252596AE" w14:textId="77777777" w:rsidR="002811DE" w:rsidRDefault="002811DE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4ED0BFD6" w14:textId="2E1259F8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</w:tr>
      <w:tr w:rsidR="00A04241" w14:paraId="65C322D4" w14:textId="77777777">
        <w:tc>
          <w:tcPr>
            <w:tcW w:w="1665" w:type="dxa"/>
          </w:tcPr>
          <w:p w14:paraId="251A1D7C" w14:textId="6BD5E7FE" w:rsidR="00A04241" w:rsidRDefault="00381208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13</w:t>
            </w:r>
            <w:r w:rsidR="00B979F3">
              <w:rPr>
                <w:rFonts w:ascii="Times New Roman" w:hAnsi="Times New Roman" w:cs="Times New Roman"/>
                <w:kern w:val="0"/>
                <w:szCs w:val="21"/>
              </w:rPr>
              <w:t>.</w:t>
            </w:r>
            <w:r w:rsidR="00C37197">
              <w:rPr>
                <w:rFonts w:ascii="Times New Roman" w:hAnsi="Times New Roman" w:cs="Times New Roman"/>
                <w:kern w:val="0"/>
                <w:szCs w:val="21"/>
              </w:rPr>
              <w:t>Sitzung</w:t>
            </w:r>
          </w:p>
        </w:tc>
        <w:tc>
          <w:tcPr>
            <w:tcW w:w="2696" w:type="dxa"/>
          </w:tcPr>
          <w:p w14:paraId="1D99F91C" w14:textId="33D2EA89" w:rsidR="00B64547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Bertolt Brecht: </w:t>
            </w:r>
            <w:r w:rsidRPr="00B979F3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Die Höflichen Chinesen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.</w:t>
            </w:r>
          </w:p>
          <w:p w14:paraId="75E9E048" w14:textId="11DE70CC" w:rsidR="00B979F3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544" w:type="dxa"/>
          </w:tcPr>
          <w:p w14:paraId="230A6782" w14:textId="77777777" w:rsidR="00B64547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I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nhaltsangabe;</w:t>
            </w:r>
          </w:p>
          <w:p w14:paraId="1D326D44" w14:textId="1205F602" w:rsidR="00B979F3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D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er Einfluss der chinesischen Kultur auf Bertolt Brecht</w:t>
            </w:r>
            <w:r w:rsidR="002811DE">
              <w:rPr>
                <w:rFonts w:ascii="Times New Roman" w:hAnsi="Times New Roman" w:cs="Times New Roman"/>
                <w:kern w:val="0"/>
                <w:szCs w:val="21"/>
              </w:rPr>
              <w:t>;</w:t>
            </w:r>
          </w:p>
          <w:p w14:paraId="284E19E0" w14:textId="66F8B7B7" w:rsidR="00B979F3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D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as China-Bild in dem Text.</w:t>
            </w:r>
          </w:p>
        </w:tc>
        <w:tc>
          <w:tcPr>
            <w:tcW w:w="1098" w:type="dxa"/>
          </w:tcPr>
          <w:p w14:paraId="79DD037A" w14:textId="77777777" w:rsidR="00C37197" w:rsidRDefault="00C37197" w:rsidP="002811DE">
            <w:pPr>
              <w:spacing w:line="276" w:lineRule="auto"/>
              <w:ind w:firstLineChars="50" w:firstLine="105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5743799F" w14:textId="044FE403" w:rsidR="00A04241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="00381208"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  <w:p w14:paraId="03516CAF" w14:textId="77777777" w:rsidR="00A04241" w:rsidRDefault="00A04241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B979F3" w14:paraId="352ADF57" w14:textId="77777777">
        <w:tc>
          <w:tcPr>
            <w:tcW w:w="1665" w:type="dxa"/>
          </w:tcPr>
          <w:p w14:paraId="60BB22E4" w14:textId="6C14F774" w:rsidR="00B979F3" w:rsidRDefault="00B979F3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4.</w:t>
            </w:r>
            <w:r w:rsidR="00C37197">
              <w:rPr>
                <w:rFonts w:ascii="Times New Roman" w:hAnsi="Times New Roman" w:cs="Times New Roman"/>
                <w:kern w:val="0"/>
                <w:szCs w:val="21"/>
              </w:rPr>
              <w:t xml:space="preserve"> Sitzung</w:t>
            </w:r>
          </w:p>
        </w:tc>
        <w:tc>
          <w:tcPr>
            <w:tcW w:w="2696" w:type="dxa"/>
          </w:tcPr>
          <w:p w14:paraId="06367D18" w14:textId="3EC616C3" w:rsidR="00B979F3" w:rsidRDefault="00B979F3" w:rsidP="002811D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B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ertolt Brecht:</w:t>
            </w:r>
            <w:r w:rsidRPr="00B979F3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 xml:space="preserve"> Legende von </w:t>
            </w:r>
            <w:r w:rsidRPr="00B979F3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lastRenderedPageBreak/>
              <w:t xml:space="preserve">der Entstehung des Buches </w:t>
            </w:r>
            <w:proofErr w:type="spellStart"/>
            <w:r w:rsidRPr="00B979F3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>Taoteking</w:t>
            </w:r>
            <w:proofErr w:type="spellEnd"/>
            <w:r w:rsidRPr="00B979F3">
              <w:rPr>
                <w:rFonts w:ascii="Times New Roman" w:hAnsi="Times New Roman" w:cs="Times New Roman"/>
                <w:i/>
                <w:iCs/>
                <w:kern w:val="0"/>
                <w:szCs w:val="21"/>
              </w:rPr>
              <w:t xml:space="preserve"> auf dem Weg des Laotse in die Emigration</w:t>
            </w:r>
          </w:p>
        </w:tc>
        <w:tc>
          <w:tcPr>
            <w:tcW w:w="3544" w:type="dxa"/>
          </w:tcPr>
          <w:p w14:paraId="2D240B5E" w14:textId="77777777" w:rsidR="00B979F3" w:rsidRDefault="00C37197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lastRenderedPageBreak/>
              <w:t>I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nhaltsangabe;</w:t>
            </w:r>
          </w:p>
          <w:p w14:paraId="6588C5A8" w14:textId="77777777" w:rsidR="00C37197" w:rsidRDefault="00C37197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lastRenderedPageBreak/>
              <w:t>D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ie philosophischen Gedanken von Laotse auf Bertolt Brecht;</w:t>
            </w:r>
          </w:p>
          <w:p w14:paraId="7369A349" w14:textId="77D78DFB" w:rsidR="00C37197" w:rsidRPr="00C37197" w:rsidRDefault="00C37197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D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ie deutsche Literatur des Exils.</w:t>
            </w:r>
          </w:p>
        </w:tc>
        <w:tc>
          <w:tcPr>
            <w:tcW w:w="1098" w:type="dxa"/>
          </w:tcPr>
          <w:p w14:paraId="34B0EA9F" w14:textId="77777777" w:rsidR="00B979F3" w:rsidRDefault="00B979F3" w:rsidP="002811DE">
            <w:pPr>
              <w:spacing w:line="276" w:lineRule="auto"/>
              <w:ind w:firstLineChars="50" w:firstLine="105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36AA0FBF" w14:textId="78C3A6DD" w:rsidR="00C37197" w:rsidRDefault="00C37197" w:rsidP="002811DE">
            <w:pPr>
              <w:spacing w:line="276" w:lineRule="auto"/>
              <w:ind w:firstLineChars="50" w:firstLine="105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lastRenderedPageBreak/>
              <w:t>2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学时</w:t>
            </w:r>
          </w:p>
        </w:tc>
      </w:tr>
      <w:tr w:rsidR="00C37197" w14:paraId="6E986AF7" w14:textId="77777777">
        <w:tc>
          <w:tcPr>
            <w:tcW w:w="1665" w:type="dxa"/>
          </w:tcPr>
          <w:p w14:paraId="0430699F" w14:textId="2065250E" w:rsidR="00C37197" w:rsidRDefault="00C37197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lastRenderedPageBreak/>
              <w:t>1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-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16. Sitzung</w:t>
            </w:r>
          </w:p>
        </w:tc>
        <w:tc>
          <w:tcPr>
            <w:tcW w:w="2696" w:type="dxa"/>
          </w:tcPr>
          <w:p w14:paraId="5050BBD2" w14:textId="54FA68DE" w:rsidR="00C37197" w:rsidRDefault="00C37197" w:rsidP="002811DE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Ü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bungen und Wiederholung</w:t>
            </w:r>
          </w:p>
        </w:tc>
        <w:tc>
          <w:tcPr>
            <w:tcW w:w="3544" w:type="dxa"/>
          </w:tcPr>
          <w:p w14:paraId="444256EF" w14:textId="7EE0548E" w:rsidR="00C37197" w:rsidRDefault="00C37197" w:rsidP="002811DE">
            <w:pPr>
              <w:spacing w:line="276" w:lineRule="auto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D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ie Studierenden sollen im Unterricht zwei kurze literarische</w:t>
            </w:r>
            <w:r w:rsidR="007538B5">
              <w:rPr>
                <w:rFonts w:ascii="Times New Roman" w:hAnsi="Times New Roman" w:cs="Times New Roman"/>
                <w:kern w:val="0"/>
                <w:szCs w:val="21"/>
              </w:rPr>
              <w:t xml:space="preserve"> T</w:t>
            </w:r>
            <w:r w:rsidR="007538B5">
              <w:rPr>
                <w:rFonts w:ascii="Times New Roman" w:hAnsi="Times New Roman" w:cs="Times New Roman" w:hint="eastAsia"/>
                <w:kern w:val="0"/>
                <w:szCs w:val="21"/>
              </w:rPr>
              <w:t>exte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 xml:space="preserve"> lesen und interpretieren. Die Vorgehensweise wird auch dabei wiederholt und betont.</w:t>
            </w:r>
          </w:p>
        </w:tc>
        <w:tc>
          <w:tcPr>
            <w:tcW w:w="1098" w:type="dxa"/>
          </w:tcPr>
          <w:p w14:paraId="678F692B" w14:textId="77777777" w:rsidR="00C37197" w:rsidRDefault="00C37197" w:rsidP="002811DE">
            <w:pPr>
              <w:spacing w:line="276" w:lineRule="auto"/>
              <w:ind w:firstLineChars="50" w:firstLine="105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400DDB07" w14:textId="5E2AFC38" w:rsidR="00C37197" w:rsidRDefault="00C37197" w:rsidP="002811DE">
            <w:pPr>
              <w:spacing w:line="276" w:lineRule="auto"/>
              <w:ind w:firstLineChars="50" w:firstLine="105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学时</w:t>
            </w:r>
          </w:p>
        </w:tc>
      </w:tr>
    </w:tbl>
    <w:p w14:paraId="2E7AA853" w14:textId="77777777" w:rsidR="00A04241" w:rsidRDefault="00381208" w:rsidP="002811DE">
      <w:pPr>
        <w:snapToGrid w:val="0"/>
        <w:spacing w:beforeLines="50" w:before="156" w:line="360" w:lineRule="auto"/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  <w:t>四、主要教学方法与手段</w:t>
      </w:r>
    </w:p>
    <w:p w14:paraId="3298361F" w14:textId="30BE9656" w:rsidR="00A04241" w:rsidRDefault="00381208" w:rsidP="002811DE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szCs w:val="21"/>
          <w:lang w:val="en-US"/>
        </w:rPr>
      </w:pPr>
      <w:r>
        <w:rPr>
          <w:rFonts w:ascii="Times New Roman" w:eastAsia="宋体" w:hAnsi="Times New Roman" w:cs="Times New Roman"/>
          <w:color w:val="000000"/>
          <w:szCs w:val="21"/>
          <w:lang w:val="en-US"/>
        </w:rPr>
        <w:t>启发式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+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探究式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+</w:t>
      </w:r>
      <w:r w:rsidR="002811DE"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互动式</w:t>
      </w:r>
      <w:r w:rsidR="002811DE"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+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自主式。</w:t>
      </w:r>
    </w:p>
    <w:p w14:paraId="1460FF0F" w14:textId="77777777" w:rsidR="00A04241" w:rsidRDefault="00381208" w:rsidP="002811DE">
      <w:pPr>
        <w:snapToGrid w:val="0"/>
        <w:spacing w:beforeLines="50" w:before="156" w:line="360" w:lineRule="auto"/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黑体" w:hAnsi="Times New Roman" w:cs="Times New Roman"/>
          <w:color w:val="000000"/>
          <w:sz w:val="28"/>
          <w:szCs w:val="28"/>
          <w:lang w:val="en-US"/>
        </w:rPr>
        <w:t>五、课程考核和成绩评定</w:t>
      </w:r>
    </w:p>
    <w:p w14:paraId="682593FA" w14:textId="77777777" w:rsidR="00A04241" w:rsidRDefault="00381208" w:rsidP="002811DE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szCs w:val="21"/>
          <w:lang w:val="en-US"/>
        </w:rPr>
      </w:pPr>
      <w:r>
        <w:rPr>
          <w:rFonts w:ascii="Times New Roman" w:eastAsia="宋体" w:hAnsi="Times New Roman" w:cs="Times New Roman"/>
          <w:color w:val="000000"/>
          <w:szCs w:val="21"/>
          <w:lang w:val="en-US"/>
        </w:rPr>
        <w:t>课程考核方式：平时考核与期末</w:t>
      </w:r>
      <w:r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考试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相结合</w:t>
      </w:r>
      <w:r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。</w:t>
      </w:r>
    </w:p>
    <w:p w14:paraId="04AABA23" w14:textId="77777777" w:rsidR="00A04241" w:rsidRDefault="00381208" w:rsidP="002811DE">
      <w:pPr>
        <w:spacing w:line="360" w:lineRule="auto"/>
        <w:ind w:firstLineChars="200" w:firstLine="420"/>
        <w:rPr>
          <w:rFonts w:ascii="Times New Roman" w:eastAsia="宋体" w:hAnsi="Times New Roman" w:cs="Times New Roman"/>
          <w:color w:val="000000"/>
          <w:szCs w:val="21"/>
          <w:lang w:val="en-US"/>
        </w:rPr>
      </w:pPr>
      <w:r>
        <w:rPr>
          <w:rFonts w:ascii="Times New Roman" w:eastAsia="宋体" w:hAnsi="Times New Roman" w:cs="Times New Roman"/>
          <w:color w:val="000000"/>
          <w:szCs w:val="21"/>
          <w:lang w:val="en-US"/>
        </w:rPr>
        <w:t>成绩评定：平时成绩（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30%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）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+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期末</w:t>
      </w:r>
      <w:r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成绩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（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70%</w:t>
      </w:r>
      <w:r>
        <w:rPr>
          <w:rFonts w:ascii="Times New Roman" w:eastAsia="宋体" w:hAnsi="Times New Roman" w:cs="Times New Roman"/>
          <w:color w:val="000000"/>
          <w:szCs w:val="21"/>
          <w:lang w:val="en-US"/>
        </w:rPr>
        <w:t>）</w:t>
      </w:r>
      <w:r>
        <w:rPr>
          <w:rFonts w:ascii="Times New Roman" w:eastAsia="宋体" w:hAnsi="Times New Roman" w:cs="Times New Roman" w:hint="eastAsia"/>
          <w:color w:val="000000"/>
          <w:szCs w:val="21"/>
          <w:lang w:val="en-US"/>
        </w:rPr>
        <w:t>。</w:t>
      </w:r>
    </w:p>
    <w:p w14:paraId="24B37BCD" w14:textId="77777777" w:rsidR="00A04241" w:rsidRDefault="00A04241">
      <w:pPr>
        <w:spacing w:line="276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en-US"/>
        </w:rPr>
      </w:pPr>
    </w:p>
    <w:p w14:paraId="14A12BF6" w14:textId="77777777" w:rsidR="00A04241" w:rsidRDefault="00A04241">
      <w:pPr>
        <w:spacing w:line="276" w:lineRule="auto"/>
        <w:rPr>
          <w:rFonts w:ascii="Times New Roman" w:eastAsia="宋体" w:hAnsi="Times New Roman" w:cs="Times New Roman"/>
          <w:b/>
          <w:color w:val="000000"/>
          <w:sz w:val="24"/>
          <w:szCs w:val="24"/>
          <w:lang w:val="en-US"/>
        </w:rPr>
      </w:pPr>
    </w:p>
    <w:p w14:paraId="06203099" w14:textId="77777777" w:rsidR="00A04241" w:rsidRDefault="00A04241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F501DA" w14:textId="77777777" w:rsidR="00A04241" w:rsidRDefault="00A042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A04241">
      <w:footerReference w:type="default" r:id="rId9"/>
      <w:pgSz w:w="11906" w:h="16838"/>
      <w:pgMar w:top="1418" w:right="1418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DBD5B" w14:textId="77777777" w:rsidR="00BA7453" w:rsidRDefault="00BA7453">
      <w:r>
        <w:separator/>
      </w:r>
    </w:p>
  </w:endnote>
  <w:endnote w:type="continuationSeparator" w:id="0">
    <w:p w14:paraId="7A38DB55" w14:textId="77777777" w:rsidR="00BA7453" w:rsidRDefault="00BA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dobeHeitiStd-Regular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26C7E" w14:textId="77777777" w:rsidR="00A04241" w:rsidRDefault="0038120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3788F2BE" w14:textId="77777777" w:rsidR="00A04241" w:rsidRDefault="00A0424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56065" w14:textId="77777777" w:rsidR="00BA7453" w:rsidRDefault="00BA7453">
      <w:r>
        <w:separator/>
      </w:r>
    </w:p>
  </w:footnote>
  <w:footnote w:type="continuationSeparator" w:id="0">
    <w:p w14:paraId="2B807E7D" w14:textId="77777777" w:rsidR="00BA7453" w:rsidRDefault="00BA7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65BDB"/>
    <w:multiLevelType w:val="multilevel"/>
    <w:tmpl w:val="1DC65BDB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eastAsiaTheme="minorEastAsia" w:hAnsiTheme="minorHAnsi"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CFBE8AA"/>
    <w:multiLevelType w:val="singleLevel"/>
    <w:tmpl w:val="6CFBE8A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4C7"/>
    <w:rsid w:val="00007A28"/>
    <w:rsid w:val="000324F0"/>
    <w:rsid w:val="00043FDC"/>
    <w:rsid w:val="00064C9F"/>
    <w:rsid w:val="00065DB6"/>
    <w:rsid w:val="000A1B9E"/>
    <w:rsid w:val="000C7D4B"/>
    <w:rsid w:val="0011488C"/>
    <w:rsid w:val="00116BC9"/>
    <w:rsid w:val="0015181F"/>
    <w:rsid w:val="0016658D"/>
    <w:rsid w:val="001A6312"/>
    <w:rsid w:val="001C4144"/>
    <w:rsid w:val="0021100F"/>
    <w:rsid w:val="002811DE"/>
    <w:rsid w:val="002954E2"/>
    <w:rsid w:val="002A59D0"/>
    <w:rsid w:val="002E0DC0"/>
    <w:rsid w:val="003450DA"/>
    <w:rsid w:val="00381208"/>
    <w:rsid w:val="003C6BEB"/>
    <w:rsid w:val="004530E3"/>
    <w:rsid w:val="004A3066"/>
    <w:rsid w:val="004E14C7"/>
    <w:rsid w:val="00607A27"/>
    <w:rsid w:val="00631BBA"/>
    <w:rsid w:val="00653E82"/>
    <w:rsid w:val="00664606"/>
    <w:rsid w:val="00673E31"/>
    <w:rsid w:val="00691DBB"/>
    <w:rsid w:val="006C634B"/>
    <w:rsid w:val="00712690"/>
    <w:rsid w:val="00722895"/>
    <w:rsid w:val="00751B9F"/>
    <w:rsid w:val="007538B5"/>
    <w:rsid w:val="007643FD"/>
    <w:rsid w:val="007819F3"/>
    <w:rsid w:val="007F61DD"/>
    <w:rsid w:val="0085037F"/>
    <w:rsid w:val="0085349A"/>
    <w:rsid w:val="00867E9C"/>
    <w:rsid w:val="0088558B"/>
    <w:rsid w:val="008C25ED"/>
    <w:rsid w:val="008C50FE"/>
    <w:rsid w:val="008F444E"/>
    <w:rsid w:val="009278AC"/>
    <w:rsid w:val="009B7085"/>
    <w:rsid w:val="009C144E"/>
    <w:rsid w:val="009C65EB"/>
    <w:rsid w:val="009D2615"/>
    <w:rsid w:val="00A04241"/>
    <w:rsid w:val="00A1116B"/>
    <w:rsid w:val="00A229D7"/>
    <w:rsid w:val="00AA0ED0"/>
    <w:rsid w:val="00AB0C61"/>
    <w:rsid w:val="00B64547"/>
    <w:rsid w:val="00B979F3"/>
    <w:rsid w:val="00BA7453"/>
    <w:rsid w:val="00C02495"/>
    <w:rsid w:val="00C32179"/>
    <w:rsid w:val="00C37197"/>
    <w:rsid w:val="00C44036"/>
    <w:rsid w:val="00C61DAB"/>
    <w:rsid w:val="00C74E87"/>
    <w:rsid w:val="00D4608C"/>
    <w:rsid w:val="00D512C5"/>
    <w:rsid w:val="00D7384F"/>
    <w:rsid w:val="00D979DC"/>
    <w:rsid w:val="00D97B96"/>
    <w:rsid w:val="00E414FE"/>
    <w:rsid w:val="00E961B9"/>
    <w:rsid w:val="00EC46A3"/>
    <w:rsid w:val="00EE0A2A"/>
    <w:rsid w:val="00EE64FA"/>
    <w:rsid w:val="00F0704A"/>
    <w:rsid w:val="00F478B1"/>
    <w:rsid w:val="00F56C6D"/>
    <w:rsid w:val="00F61F4B"/>
    <w:rsid w:val="00F64C25"/>
    <w:rsid w:val="00F81828"/>
    <w:rsid w:val="00FC01AB"/>
    <w:rsid w:val="00FE7FDD"/>
    <w:rsid w:val="325A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E0FF1E3"/>
  <w15:docId w15:val="{FBA411EB-ABFC-4E8D-9EAA-FB65817CB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  <w:lang w:val="de-DE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  <w:lang w:val="de-DE"/>
    </w:rPr>
  </w:style>
  <w:style w:type="paragraph" w:styleId="a8">
    <w:name w:val="List Paragraph"/>
    <w:basedOn w:val="a"/>
    <w:uiPriority w:val="34"/>
    <w:qFormat/>
    <w:pPr>
      <w:ind w:firstLineChars="200"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F4DDF-6AF5-4B3B-8CD2-78DF6393A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634</Words>
  <Characters>3620</Characters>
  <Application>Microsoft Office Word</Application>
  <DocSecurity>0</DocSecurity>
  <Lines>30</Lines>
  <Paragraphs>8</Paragraphs>
  <ScaleCrop>false</ScaleCrop>
  <Company>SISU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LIAO</dc:creator>
  <cp:lastModifiedBy>gongqianqian15@sina.com</cp:lastModifiedBy>
  <cp:revision>2</cp:revision>
  <cp:lastPrinted>2021-02-25T00:32:00Z</cp:lastPrinted>
  <dcterms:created xsi:type="dcterms:W3CDTF">2022-02-17T07:04:00Z</dcterms:created>
  <dcterms:modified xsi:type="dcterms:W3CDTF">2022-02-17T07:04:00Z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