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黑体" w:hAnsi="宋体" w:eastAsia="黑体" w:cs="Times New Roman"/>
          <w:color w:val="000000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color w:val="000000"/>
          <w:sz w:val="32"/>
          <w:szCs w:val="32"/>
          <w:lang w:val="en-US"/>
        </w:rPr>
        <w:t>《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/>
        </w:rPr>
        <w:t>德语文学作品选读</w:t>
      </w:r>
      <w:r>
        <w:rPr>
          <w:rFonts w:hint="eastAsia" w:ascii="黑体" w:hAnsi="宋体" w:eastAsia="黑体" w:cs="Times New Roman"/>
          <w:color w:val="000000"/>
          <w:sz w:val="32"/>
          <w:szCs w:val="32"/>
          <w:lang w:val="en-US"/>
        </w:rPr>
        <w:t>》课程教学大纲</w:t>
      </w:r>
    </w:p>
    <w:p>
      <w:pPr>
        <w:snapToGrid w:val="0"/>
        <w:spacing w:before="156" w:beforeLines="50"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ascii="黑体" w:hAnsi="宋体" w:eastAsia="黑体" w:cs="Times New Roman"/>
          <w:color w:val="000000"/>
          <w:sz w:val="28"/>
          <w:szCs w:val="28"/>
          <w:lang w:val="en-US"/>
        </w:rPr>
        <w:t>一、课程</w:t>
      </w: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基本信息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3402"/>
        <w:gridCol w:w="3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课程名称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Cs w:val="21"/>
                <w:lang w:val="en-US"/>
              </w:rPr>
              <w:t>德语文学作品选读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德文名称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Lektüre der deutschen Literatur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课程代码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hAnsi="宋体" w:eastAsia="宋体" w:cs="Times New Roman"/>
                <w:color w:val="000000"/>
                <w:szCs w:val="21"/>
                <w:lang w:val="en-US"/>
              </w:rPr>
              <w:t>ZYK0210049</w:t>
            </w:r>
          </w:p>
        </w:tc>
        <w:tc>
          <w:tcPr>
            <w:tcW w:w="3843" w:type="dxa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center"/>
              <w:rPr>
                <w:rFonts w:ascii="Times New Roman" w:hAnsi="Times New Roman" w:eastAsia="黑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Cs w:val="21"/>
                <w:lang w:val="en-US"/>
              </w:rPr>
              <w:t>与其他课程关系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课程性质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任选</w:t>
            </w:r>
          </w:p>
        </w:tc>
        <w:tc>
          <w:tcPr>
            <w:tcW w:w="3843" w:type="dxa"/>
            <w:vMerge w:val="restart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ind w:left="90" w:leftChars="43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先修课程：《德语文学导论》</w:t>
            </w:r>
          </w:p>
          <w:p>
            <w:pPr>
              <w:snapToGrid w:val="0"/>
              <w:spacing w:line="360" w:lineRule="auto"/>
              <w:ind w:left="90" w:leftChars="43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后续课程：《德语文学作品分析》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学时/学分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32学时/2学分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ind w:left="34" w:leftChars="16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考核方式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34" w:leftChars="16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考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查</w:t>
            </w:r>
            <w:bookmarkStart w:id="0" w:name="_GoBack"/>
            <w:bookmarkEnd w:id="0"/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开课学期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第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学期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开课院系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德语学院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适用专业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德语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编制时间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ind w:left="34" w:leftChars="16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20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22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年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月1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黑体" w:hAnsi="宋体" w:eastAsia="黑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黑体" w:hAnsi="宋体" w:eastAsia="黑体" w:cs="Times New Roman"/>
                <w:color w:val="000000"/>
                <w:szCs w:val="21"/>
                <w:lang w:val="en-US"/>
              </w:rPr>
              <w:t>课程教材与学习资源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参考教材</w:t>
            </w:r>
          </w:p>
        </w:tc>
        <w:tc>
          <w:tcPr>
            <w:tcW w:w="7245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《德语文学选读》，吴建雄主编，对外经济贸易大学出版社，2010年。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2" w:hRule="atLeast"/>
        </w:trPr>
        <w:tc>
          <w:tcPr>
            <w:tcW w:w="1565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教学参考资料及其他学习资源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color w:val="000000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/>
              </w:rPr>
              <w:t>1.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/>
              </w:rPr>
              <w:t>《文学与认识》，王炳钧编著，外语教学与研究出版社，20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lang w:val="en-US"/>
              </w:rPr>
              <w:t>13年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/>
              </w:rPr>
              <w:t>。</w:t>
            </w:r>
          </w:p>
          <w:p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color w:val="000000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/>
              </w:rPr>
              <w:t>2. 《德语文学长篇小说阅读与理解》，李昌珂编，北京大学出版社，2010年</w:t>
            </w:r>
          </w:p>
          <w:p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/>
              </w:rPr>
              <w:t>3.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/>
              </w:rPr>
              <w:t>《</w:t>
            </w:r>
            <w:r>
              <w:rPr>
                <w:rFonts w:hint="eastAsia"/>
                <w:bCs/>
                <w:szCs w:val="21"/>
              </w:rPr>
              <w:t>德语抒情叙事作品解析》，吴建雄编，外语教学与研究出版社，2010年。</w:t>
            </w:r>
          </w:p>
          <w:p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《德语经典诗歌解析》，丛明才编，外语教学与研究出版社，2013年。</w:t>
            </w:r>
          </w:p>
          <w:p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</w:t>
            </w:r>
            <w:r>
              <w:fldChar w:fldCharType="begin"/>
            </w:r>
            <w:r>
              <w:instrText xml:space="preserve"> HYPERLINK "http://www.zeno.org/"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eastAsia="宋体" w:cs="Times New Roman"/>
                <w:szCs w:val="24"/>
              </w:rPr>
              <w:t>http://www.zeno.org/</w:t>
            </w:r>
            <w:r>
              <w:rPr>
                <w:rStyle w:val="6"/>
                <w:rFonts w:ascii="Times New Roman" w:hAnsi="Times New Roman" w:eastAsia="宋体" w:cs="Times New Roman"/>
                <w:szCs w:val="24"/>
              </w:rPr>
              <w:fldChar w:fldCharType="end"/>
            </w:r>
          </w:p>
          <w:p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</w:t>
            </w:r>
            <w:r>
              <w:fldChar w:fldCharType="begin"/>
            </w:r>
            <w:r>
              <w:instrText xml:space="preserve"> HYPERLINK "http://www.textlog.de/"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eastAsia="宋体" w:cs="Times New Roman"/>
                <w:szCs w:val="24"/>
              </w:rPr>
              <w:t>http://www.textlog.de/</w:t>
            </w:r>
            <w:r>
              <w:rPr>
                <w:rStyle w:val="6"/>
                <w:rFonts w:ascii="Times New Roman" w:hAnsi="Times New Roman" w:eastAsia="宋体" w:cs="Times New Roman"/>
                <w:szCs w:val="24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8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黑体" w:hAnsi="宋体" w:eastAsia="黑体" w:cs="Times New Roman"/>
                <w:color w:val="000000"/>
                <w:szCs w:val="21"/>
                <w:lang w:val="en-US"/>
              </w:rPr>
              <w:t>大纲编制人及责任人信息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大纲编制人员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廖峻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审核负责人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余传玲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审定负责人</w:t>
            </w:r>
          </w:p>
        </w:tc>
        <w:tc>
          <w:tcPr>
            <w:tcW w:w="7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李大雪</w:t>
            </w:r>
          </w:p>
        </w:tc>
      </w:tr>
    </w:tbl>
    <w:p>
      <w:pPr>
        <w:snapToGrid w:val="0"/>
        <w:spacing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二、课程目标与任务</w:t>
      </w:r>
    </w:p>
    <w:p>
      <w:pPr>
        <w:spacing w:line="360" w:lineRule="auto"/>
        <w:ind w:firstLine="420"/>
        <w:rPr>
          <w:rFonts w:ascii="宋体" w:hAnsi="宋体" w:eastAsia="宋体" w:cs="Times New Roman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val="en-US"/>
        </w:rPr>
        <w:t>本课程是高等院校德语专业三年级下期开设的一门专业任选课，是三年级上期《德语文学导论》的后续课程和延伸。本课程以文学史不同时代相对活跃的体裁形式为划分依据，通过课堂外的自主阅读和课堂内的教师引导，使学生能最大程度地了解体裁、熟悉作家、理解作品，通过对文章后思考题的讨论和作业，对所读内容获得深入的理解，开启创新性思维。此外，通过阅读马克思作品德语原文,在语言和文化增进对其精神的领会，树立为人类前途奋斗的远大理想。</w:t>
      </w:r>
    </w:p>
    <w:p>
      <w:pPr>
        <w:spacing w:line="360" w:lineRule="auto"/>
        <w:ind w:firstLine="420"/>
        <w:rPr>
          <w:rFonts w:ascii="宋体" w:hAnsi="宋体" w:eastAsia="宋体" w:cs="Times New Roman"/>
          <w:color w:val="000000"/>
          <w:sz w:val="24"/>
          <w:szCs w:val="24"/>
          <w:lang w:val="en-US"/>
        </w:rPr>
      </w:pPr>
    </w:p>
    <w:p>
      <w:pPr>
        <w:spacing w:line="360" w:lineRule="auto"/>
        <w:ind w:firstLine="560" w:firstLineChars="200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三、课程主要内容、要求及学时分配</w:t>
      </w:r>
    </w:p>
    <w:tbl>
      <w:tblPr>
        <w:tblStyle w:val="4"/>
        <w:tblW w:w="899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4496"/>
        <w:gridCol w:w="2697"/>
        <w:gridCol w:w="11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序号</w:t>
            </w:r>
          </w:p>
        </w:tc>
        <w:tc>
          <w:tcPr>
            <w:tcW w:w="4496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主要内容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基本要求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Das Seminar vorstellen und Leseaufgaben für das ganze Semester verteilen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Was ist Fabel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Text 1: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Der Tanzbär von Gel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l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ert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Der Tanzbär von Lessing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3: Herr Keuner und die Flut von Brecht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4: Kleine Fabel von Kafka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了解课程的性质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、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教学方法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、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教学要求和考核方式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F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abel的概念和特点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4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Was ist Ballade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Text 1: Der Handschuh 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Text 2: Minotaurus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269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B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allade的概念和特点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Was ist Parabel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 xml:space="preserve">Text 1: Der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M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ensch und der Spiegel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Das Eisenbahngleichnis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3: Vor dem Gesetz</w:t>
            </w:r>
          </w:p>
        </w:tc>
        <w:tc>
          <w:tcPr>
            <w:tcW w:w="269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P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arabel的概念和特点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3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4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Was ist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 xml:space="preserve"> Kalendergeschichte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 xml:space="preserve">: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Wenn die Haifische Menschen w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ären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Unverhofftes Wiedersehen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K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alendergechichte的概念和特点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3学时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5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Was ist Erzählung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Text 1: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Die Linkshänder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Wanderer, kommst du nach Spa…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E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rzählung的概念和特点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4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:lang w:val="en-US"/>
              </w:rPr>
              <w:t>6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 xml:space="preserve">Was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ist Brief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1: Friedrich Wolf an seine Frau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Kafka an den Vater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B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rief的概念和特点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4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7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Was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ist Kurzgeschichte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1: Anekdote zur Senkung der Arbeitsmoral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Nachts schlafen die Ratten doch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了解Kurzgeschichte的概念和特点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4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8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Was ist Novelle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1: Marthe und ihre Uhr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Das Begräbnis eines Schirmflickers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了解Novelle的概念和特点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4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学时（其中实践学时2学时）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Was ist Drama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1: Emilia Galotti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Der Besuch der alten Damen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了解Drama的概念和特点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2学时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647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4496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Was ist Essay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1: Über Heinrich Heine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Text 2: Sprache</w:t>
            </w:r>
          </w:p>
          <w:p>
            <w:pPr>
              <w:widowControl/>
              <w:shd w:val="clear" w:color="auto" w:fill="FFFFFF"/>
              <w:spacing w:after="240"/>
              <w:jc w:val="left"/>
              <w:outlineLvl w:val="1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</w:rPr>
              <w:t>T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ext 3: Betrachtung eines Jünglings bei der Wahl eines Berufes</w:t>
            </w:r>
          </w:p>
        </w:tc>
        <w:tc>
          <w:tcPr>
            <w:tcW w:w="2697" w:type="dxa"/>
            <w:vAlign w:val="center"/>
          </w:tcPr>
          <w:p>
            <w:pPr>
              <w:snapToGrid w:val="0"/>
              <w:spacing w:before="78" w:beforeLines="2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E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ssay的概念和特点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；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结合文本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回答问题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启发思路</w:t>
            </w:r>
          </w:p>
        </w:tc>
        <w:tc>
          <w:tcPr>
            <w:tcW w:w="1154" w:type="dxa"/>
            <w:vAlign w:val="center"/>
          </w:tcPr>
          <w:p>
            <w:pPr>
              <w:snapToGrid w:val="0"/>
              <w:spacing w:before="78" w:beforeLines="25"/>
              <w:ind w:firstLine="105" w:firstLineChars="50"/>
              <w:jc w:val="center"/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/>
              </w:rPr>
              <w:t>学时</w:t>
            </w:r>
          </w:p>
        </w:tc>
      </w:tr>
    </w:tbl>
    <w:p>
      <w:pPr>
        <w:snapToGrid w:val="0"/>
        <w:spacing w:before="156" w:beforeLines="50"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四、主要教学方法与手段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4"/>
          <w:lang w:val="en-US"/>
        </w:rPr>
      </w:pPr>
      <w:r>
        <w:rPr>
          <w:rFonts w:hint="eastAsia" w:ascii="Times New Roman" w:hAnsi="Times New Roman" w:eastAsia="宋体" w:cs="Times New Roman"/>
          <w:color w:val="000000"/>
          <w:szCs w:val="24"/>
          <w:lang w:val="en-US"/>
        </w:rPr>
        <w:t>“课前阅读+课堂提问及讨论+课后作业或思考”三段式结合，注重启发式的教学方法，鼓励创新性思维，鼓励自主探寻问题答案。</w:t>
      </w:r>
    </w:p>
    <w:p>
      <w:pPr>
        <w:snapToGrid w:val="0"/>
        <w:spacing w:before="156" w:beforeLines="50" w:line="360" w:lineRule="auto"/>
        <w:rPr>
          <w:rFonts w:ascii="黑体" w:hAnsi="宋体" w:eastAsia="黑体" w:cs="Times New Roman"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Times New Roman"/>
          <w:color w:val="000000"/>
          <w:sz w:val="28"/>
          <w:szCs w:val="28"/>
          <w:lang w:val="en-US"/>
        </w:rPr>
        <w:t>五、课程考核和成绩评定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4"/>
          <w:lang w:val="en-US"/>
        </w:rPr>
      </w:pPr>
      <w:r>
        <w:rPr>
          <w:rFonts w:hint="eastAsia" w:ascii="Times New Roman" w:hAnsi="Times New Roman" w:eastAsia="宋体" w:cs="Times New Roman"/>
          <w:color w:val="000000"/>
          <w:szCs w:val="24"/>
          <w:lang w:val="en-US"/>
        </w:rPr>
        <w:t>课程考核方式：平时考核与期末考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查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/>
        </w:rPr>
        <w:t>相结合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4"/>
          <w:lang w:val="en-US"/>
        </w:rPr>
      </w:pPr>
      <w:r>
        <w:rPr>
          <w:rFonts w:hint="eastAsia" w:ascii="Times New Roman" w:hAnsi="Times New Roman" w:eastAsia="宋体" w:cs="Times New Roman"/>
          <w:color w:val="000000"/>
          <w:szCs w:val="24"/>
          <w:lang w:val="en-US"/>
        </w:rPr>
        <w:t>成绩评定：平时成绩（40%，含考勤、课堂表现和作业完成情况）+期末论文（</w:t>
      </w:r>
      <w:r>
        <w:rPr>
          <w:rFonts w:ascii="Times New Roman" w:hAnsi="Times New Roman" w:eastAsia="宋体" w:cs="Times New Roman"/>
          <w:color w:val="000000"/>
          <w:szCs w:val="24"/>
          <w:lang w:val="en-US"/>
        </w:rPr>
        <w:t>6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/>
        </w:rPr>
        <w:t>0%）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4"/>
          <w:lang w:val="en-US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  <w:lang w:val="en-US"/>
        </w:rPr>
      </w:pPr>
    </w:p>
    <w:p>
      <w:pPr>
        <w:rPr>
          <w:lang w:val="en-US"/>
        </w:rPr>
      </w:pPr>
    </w:p>
    <w:p/>
    <w:p/>
    <w:sectPr>
      <w:footerReference r:id="rId3" w:type="default"/>
      <w:pgSz w:w="11906" w:h="16838"/>
      <w:pgMar w:top="1418" w:right="1418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409C"/>
    <w:rsid w:val="00085B60"/>
    <w:rsid w:val="002137FD"/>
    <w:rsid w:val="00220780"/>
    <w:rsid w:val="002375D4"/>
    <w:rsid w:val="00260715"/>
    <w:rsid w:val="00294AEF"/>
    <w:rsid w:val="003221C3"/>
    <w:rsid w:val="00333279"/>
    <w:rsid w:val="003C238A"/>
    <w:rsid w:val="003E029C"/>
    <w:rsid w:val="004278A5"/>
    <w:rsid w:val="00472B79"/>
    <w:rsid w:val="004D5FA5"/>
    <w:rsid w:val="004E316D"/>
    <w:rsid w:val="004F5BAE"/>
    <w:rsid w:val="0050566B"/>
    <w:rsid w:val="00505930"/>
    <w:rsid w:val="005130FF"/>
    <w:rsid w:val="005408C6"/>
    <w:rsid w:val="0055409C"/>
    <w:rsid w:val="005818D2"/>
    <w:rsid w:val="005A395E"/>
    <w:rsid w:val="005B3E3C"/>
    <w:rsid w:val="006043BE"/>
    <w:rsid w:val="00607A27"/>
    <w:rsid w:val="0061317E"/>
    <w:rsid w:val="00626C69"/>
    <w:rsid w:val="006368E7"/>
    <w:rsid w:val="007B5CF0"/>
    <w:rsid w:val="008743CA"/>
    <w:rsid w:val="009020F8"/>
    <w:rsid w:val="00906997"/>
    <w:rsid w:val="0094694C"/>
    <w:rsid w:val="009667C4"/>
    <w:rsid w:val="009A255D"/>
    <w:rsid w:val="009D5267"/>
    <w:rsid w:val="009E3EE5"/>
    <w:rsid w:val="00A2239B"/>
    <w:rsid w:val="00A5559F"/>
    <w:rsid w:val="00AA255D"/>
    <w:rsid w:val="00B449F0"/>
    <w:rsid w:val="00B5523E"/>
    <w:rsid w:val="00B67D97"/>
    <w:rsid w:val="00BB4958"/>
    <w:rsid w:val="00CD7014"/>
    <w:rsid w:val="00CF5B17"/>
    <w:rsid w:val="00E55F81"/>
    <w:rsid w:val="00E6013F"/>
    <w:rsid w:val="00E606A8"/>
    <w:rsid w:val="00E92436"/>
    <w:rsid w:val="00E971F1"/>
    <w:rsid w:val="00F57663"/>
    <w:rsid w:val="00FA1CD8"/>
    <w:rsid w:val="400D4109"/>
    <w:rsid w:val="4CC8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de-DE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</w:rPr>
  </w:style>
  <w:style w:type="character" w:customStyle="1" w:styleId="7">
    <w:name w:val="页眉 字符"/>
    <w:basedOn w:val="5"/>
    <w:link w:val="3"/>
    <w:uiPriority w:val="99"/>
    <w:rPr>
      <w:sz w:val="18"/>
      <w:szCs w:val="18"/>
      <w:lang w:val="de-DE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  <w:lang w:val="de-D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SISU</Company>
  <Pages>3</Pages>
  <Words>370</Words>
  <Characters>2109</Characters>
  <Lines>17</Lines>
  <Paragraphs>4</Paragraphs>
  <TotalTime>38</TotalTime>
  <ScaleCrop>false</ScaleCrop>
  <LinksUpToDate>false</LinksUpToDate>
  <CharactersWithSpaces>2475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2015-04-12T14:24:00Z</dcterms:created>
  <dc:creator>LIAO</dc:creator>
  <cp:lastModifiedBy>YUCHUANLING</cp:lastModifiedBy>
  <cp:lastPrinted>2018-07-19T01:54:00Z</cp:lastPrinted>
  <dcterms:modified xsi:type="dcterms:W3CDTF">2022-02-17T11:51:52Z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