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rPr>
          <w:rFonts w:ascii="黑体" w:hAnsi="宋体" w:eastAsia="黑体"/>
          <w:sz w:val="32"/>
          <w:szCs w:val="32"/>
        </w:rPr>
      </w:pPr>
      <w:r>
        <w:rPr>
          <w:rFonts w:hint="eastAsia" w:ascii="黑体" w:hAnsi="宋体" w:eastAsia="黑体"/>
          <w:sz w:val="32"/>
          <w:szCs w:val="32"/>
        </w:rPr>
        <w:t>《</w:t>
      </w:r>
      <w:r>
        <w:rPr>
          <w:rFonts w:hint="eastAsia" w:eastAsia="黑体"/>
          <w:sz w:val="32"/>
          <w:szCs w:val="32"/>
        </w:rPr>
        <w:t>外报阅读</w:t>
      </w:r>
      <w:r>
        <w:rPr>
          <w:rFonts w:hint="eastAsia" w:ascii="黑体" w:hAnsi="宋体" w:eastAsia="黑体"/>
          <w:sz w:val="32"/>
          <w:szCs w:val="32"/>
        </w:rPr>
        <w:t>》课程教学大纲</w:t>
      </w:r>
    </w:p>
    <w:p>
      <w:pPr>
        <w:tabs>
          <w:tab w:val="center" w:pos="4393"/>
        </w:tabs>
        <w:snapToGrid w:val="0"/>
        <w:spacing w:before="156" w:beforeLines="50" w:line="360" w:lineRule="auto"/>
        <w:rPr>
          <w:rFonts w:ascii="黑体" w:hAnsi="宋体" w:eastAsia="黑体"/>
          <w:sz w:val="28"/>
          <w:szCs w:val="28"/>
        </w:rPr>
      </w:pPr>
      <w:r>
        <w:rPr>
          <w:rFonts w:ascii="黑体" w:hAnsi="宋体" w:eastAsia="黑体"/>
          <w:sz w:val="28"/>
          <w:szCs w:val="28"/>
        </w:rPr>
        <w:t>一、课程</w:t>
      </w:r>
      <w:r>
        <w:rPr>
          <w:rFonts w:hint="eastAsia" w:ascii="黑体" w:hAnsi="宋体" w:eastAsia="黑体"/>
          <w:sz w:val="28"/>
          <w:szCs w:val="28"/>
        </w:rPr>
        <w:t>基本信息</w:t>
      </w:r>
      <w:r>
        <w:rPr>
          <w:rFonts w:ascii="黑体" w:hAnsi="宋体" w:eastAsia="黑体"/>
          <w:sz w:val="28"/>
          <w:szCs w:val="28"/>
        </w:rPr>
        <w:tab/>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5"/>
        <w:gridCol w:w="3402"/>
        <w:gridCol w:w="3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课程名称</w:t>
            </w:r>
          </w:p>
        </w:tc>
        <w:tc>
          <w:tcPr>
            <w:tcW w:w="7245" w:type="dxa"/>
            <w:gridSpan w:val="2"/>
            <w:tcMar>
              <w:left w:w="57" w:type="dxa"/>
              <w:right w:w="57" w:type="dxa"/>
            </w:tcMar>
            <w:vAlign w:val="center"/>
          </w:tcPr>
          <w:p>
            <w:pPr>
              <w:snapToGrid w:val="0"/>
              <w:spacing w:before="78" w:beforeLines="25" w:line="300" w:lineRule="auto"/>
              <w:rPr>
                <w:szCs w:val="21"/>
              </w:rPr>
            </w:pPr>
            <w:r>
              <w:rPr>
                <w:rFonts w:hint="eastAsia"/>
                <w:szCs w:val="21"/>
              </w:rPr>
              <w:t>外报阅读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德文名称</w:t>
            </w:r>
          </w:p>
        </w:tc>
        <w:tc>
          <w:tcPr>
            <w:tcW w:w="7245" w:type="dxa"/>
            <w:gridSpan w:val="2"/>
            <w:tcMar>
              <w:left w:w="57" w:type="dxa"/>
              <w:right w:w="57" w:type="dxa"/>
            </w:tcMar>
            <w:vAlign w:val="center"/>
          </w:tcPr>
          <w:p>
            <w:pPr>
              <w:snapToGrid w:val="0"/>
              <w:spacing w:before="78" w:beforeLines="25" w:line="300" w:lineRule="auto"/>
              <w:rPr>
                <w:szCs w:val="21"/>
                <w:lang w:val="de-DE"/>
              </w:rPr>
            </w:pPr>
            <w:r>
              <w:rPr>
                <w:szCs w:val="21"/>
              </w:rPr>
              <w:t>Zeitungslektüre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课程代码</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rPr>
                <w:szCs w:val="21"/>
              </w:rPr>
            </w:pPr>
            <w:r>
              <w:rPr>
                <w:szCs w:val="21"/>
              </w:rPr>
              <w:t>ZYK0210038</w:t>
            </w:r>
          </w:p>
        </w:tc>
        <w:tc>
          <w:tcPr>
            <w:tcW w:w="3843" w:type="dxa"/>
            <w:tcBorders>
              <w:left w:val="single" w:color="auto" w:sz="4" w:space="0"/>
              <w:bottom w:val="single" w:color="auto" w:sz="4" w:space="0"/>
            </w:tcBorders>
            <w:tcMar>
              <w:left w:w="0" w:type="dxa"/>
              <w:right w:w="0" w:type="dxa"/>
            </w:tcMar>
            <w:vAlign w:val="center"/>
          </w:tcPr>
          <w:p>
            <w:pPr>
              <w:snapToGrid w:val="0"/>
              <w:spacing w:before="78" w:beforeLines="25" w:line="300" w:lineRule="auto"/>
              <w:jc w:val="center"/>
              <w:rPr>
                <w:rFonts w:eastAsia="黑体"/>
                <w:szCs w:val="21"/>
              </w:rPr>
            </w:pPr>
            <w:r>
              <w:rPr>
                <w:rFonts w:hint="eastAsia" w:eastAsia="黑体"/>
                <w:szCs w:val="21"/>
              </w:rPr>
              <w:t>与其他课程关系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课程性质</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rPr>
                <w:szCs w:val="21"/>
                <w:lang w:val="de-DE"/>
              </w:rPr>
            </w:pPr>
            <w:r>
              <w:rPr>
                <w:rFonts w:hint="eastAsia"/>
                <w:szCs w:val="21"/>
                <w:lang w:val="de-DE"/>
              </w:rPr>
              <w:t>专业任选课</w:t>
            </w:r>
          </w:p>
        </w:tc>
        <w:tc>
          <w:tcPr>
            <w:tcW w:w="3843" w:type="dxa"/>
            <w:vMerge w:val="restart"/>
            <w:tcBorders>
              <w:left w:val="single" w:color="auto" w:sz="4" w:space="0"/>
            </w:tcBorders>
            <w:tcMar>
              <w:left w:w="0" w:type="dxa"/>
              <w:right w:w="0" w:type="dxa"/>
            </w:tcMar>
            <w:vAlign w:val="center"/>
          </w:tcPr>
          <w:p>
            <w:pPr>
              <w:snapToGrid w:val="0"/>
              <w:spacing w:line="360" w:lineRule="auto"/>
              <w:ind w:left="78" w:leftChars="37"/>
              <w:rPr>
                <w:color w:val="0070C0"/>
                <w:szCs w:val="21"/>
              </w:rPr>
            </w:pPr>
            <w:r>
              <w:rPr>
                <w:rFonts w:hint="eastAsia"/>
                <w:szCs w:val="21"/>
              </w:rPr>
              <w:t>前置课程：阅读（2）</w:t>
            </w:r>
          </w:p>
          <w:p>
            <w:pPr>
              <w:snapToGrid w:val="0"/>
              <w:spacing w:line="360" w:lineRule="auto"/>
              <w:ind w:left="78" w:leftChars="37"/>
              <w:rPr>
                <w:szCs w:val="21"/>
                <w:lang w:val="de-DE"/>
              </w:rPr>
            </w:pPr>
            <w:r>
              <w:rPr>
                <w:szCs w:val="21"/>
              </w:rPr>
              <w:t>后续课程</w:t>
            </w:r>
            <w:r>
              <w:rPr>
                <w:rFonts w:hint="eastAsia"/>
                <w:szCs w:val="21"/>
              </w:rPr>
              <w:t>：</w:t>
            </w:r>
            <w:r>
              <w:rPr>
                <w:rFonts w:hint="eastAsia"/>
                <w:szCs w:val="21"/>
                <w:lang w:val="de-DE"/>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学时/学分</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rPr>
                <w:szCs w:val="21"/>
              </w:rPr>
            </w:pPr>
            <w:r>
              <w:rPr>
                <w:rFonts w:hint="eastAsia"/>
                <w:szCs w:val="21"/>
              </w:rPr>
              <w:t>3</w:t>
            </w:r>
            <w:r>
              <w:rPr>
                <w:szCs w:val="21"/>
              </w:rPr>
              <w:t>2</w:t>
            </w:r>
            <w:r>
              <w:rPr>
                <w:rFonts w:hint="eastAsia"/>
                <w:szCs w:val="21"/>
              </w:rPr>
              <w:t>学时/2学分</w:t>
            </w:r>
          </w:p>
        </w:tc>
        <w:tc>
          <w:tcPr>
            <w:tcW w:w="3843" w:type="dxa"/>
            <w:vMerge w:val="continue"/>
            <w:tcBorders>
              <w:left w:val="single" w:color="auto" w:sz="4" w:space="0"/>
            </w:tcBorders>
            <w:tcMar>
              <w:left w:w="0" w:type="dxa"/>
              <w:right w:w="0" w:type="dxa"/>
            </w:tcMar>
            <w:vAlign w:val="center"/>
          </w:tcPr>
          <w:p>
            <w:pPr>
              <w:snapToGrid w:val="0"/>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考核方式</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rPr>
                <w:rFonts w:hint="eastAsia" w:eastAsia="宋体"/>
                <w:szCs w:val="21"/>
                <w:lang w:val="en-US" w:eastAsia="zh-CN"/>
              </w:rPr>
            </w:pPr>
            <w:r>
              <w:rPr>
                <w:rFonts w:hint="eastAsia"/>
                <w:szCs w:val="21"/>
              </w:rPr>
              <w:t>考</w:t>
            </w:r>
            <w:r>
              <w:rPr>
                <w:rFonts w:hint="eastAsia"/>
                <w:szCs w:val="21"/>
                <w:lang w:val="en-US" w:eastAsia="zh-CN"/>
              </w:rPr>
              <w:t>查</w:t>
            </w:r>
          </w:p>
        </w:tc>
        <w:tc>
          <w:tcPr>
            <w:tcW w:w="3843" w:type="dxa"/>
            <w:vMerge w:val="continue"/>
            <w:tcBorders>
              <w:left w:val="single" w:color="auto" w:sz="4" w:space="0"/>
            </w:tcBorders>
            <w:tcMar>
              <w:left w:w="0" w:type="dxa"/>
              <w:right w:w="0" w:type="dxa"/>
            </w:tcMar>
            <w:vAlign w:val="center"/>
          </w:tcPr>
          <w:p>
            <w:pPr>
              <w:snapToGrid w:val="0"/>
              <w:spacing w:before="78" w:beforeLines="25" w:line="300" w:lineRule="auto"/>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开课学期</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spacing w:before="78" w:beforeLines="25" w:line="300" w:lineRule="auto"/>
              <w:rPr>
                <w:rFonts w:hint="default" w:eastAsia="宋体"/>
                <w:szCs w:val="21"/>
                <w:lang w:val="en-US" w:eastAsia="zh-CN"/>
              </w:rPr>
            </w:pPr>
            <w:r>
              <w:rPr>
                <w:rFonts w:hint="eastAsia"/>
                <w:szCs w:val="21"/>
                <w:lang w:val="en-US" w:eastAsia="zh-CN"/>
              </w:rPr>
              <w:t>第6学期</w:t>
            </w:r>
            <w:bookmarkStart w:id="0" w:name="_GoBack"/>
            <w:bookmarkEnd w:id="0"/>
          </w:p>
        </w:tc>
        <w:tc>
          <w:tcPr>
            <w:tcW w:w="3843" w:type="dxa"/>
            <w:vMerge w:val="continue"/>
            <w:tcBorders>
              <w:left w:val="single" w:color="auto" w:sz="4" w:space="0"/>
            </w:tcBorders>
            <w:tcMar>
              <w:left w:w="0" w:type="dxa"/>
              <w:right w:w="0" w:type="dxa"/>
            </w:tcMar>
            <w:vAlign w:val="center"/>
          </w:tcPr>
          <w:p>
            <w:pPr>
              <w:snapToGrid w:val="0"/>
              <w:spacing w:before="78" w:beforeLines="25" w:line="300" w:lineRule="auto"/>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开课院系</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spacing w:before="78" w:beforeLines="25" w:line="300" w:lineRule="auto"/>
              <w:rPr>
                <w:szCs w:val="21"/>
              </w:rPr>
            </w:pPr>
            <w:r>
              <w:rPr>
                <w:rFonts w:hint="eastAsia"/>
                <w:szCs w:val="21"/>
              </w:rPr>
              <w:t>德语学院</w:t>
            </w:r>
          </w:p>
        </w:tc>
        <w:tc>
          <w:tcPr>
            <w:tcW w:w="3843" w:type="dxa"/>
            <w:vMerge w:val="continue"/>
            <w:tcBorders>
              <w:left w:val="single" w:color="auto" w:sz="4" w:space="0"/>
              <w:bottom w:val="single" w:color="auto" w:sz="4" w:space="0"/>
            </w:tcBorders>
            <w:tcMar>
              <w:left w:w="0" w:type="dxa"/>
              <w:right w:w="0" w:type="dxa"/>
            </w:tcMar>
            <w:vAlign w:val="center"/>
          </w:tcPr>
          <w:p>
            <w:pPr>
              <w:snapToGrid w:val="0"/>
              <w:spacing w:before="78" w:beforeLines="25" w:line="300" w:lineRule="auto"/>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适用专业</w:t>
            </w:r>
          </w:p>
        </w:tc>
        <w:tc>
          <w:tcPr>
            <w:tcW w:w="7245" w:type="dxa"/>
            <w:gridSpan w:val="2"/>
            <w:tcBorders>
              <w:top w:val="single" w:color="auto" w:sz="4" w:space="0"/>
            </w:tcBorders>
            <w:tcMar>
              <w:left w:w="57" w:type="dxa"/>
              <w:right w:w="57" w:type="dxa"/>
            </w:tcMar>
            <w:vAlign w:val="center"/>
          </w:tcPr>
          <w:p>
            <w:pPr>
              <w:snapToGrid w:val="0"/>
              <w:spacing w:before="78" w:beforeLines="25" w:line="300" w:lineRule="auto"/>
              <w:jc w:val="left"/>
              <w:rPr>
                <w:szCs w:val="21"/>
              </w:rPr>
            </w:pPr>
            <w:r>
              <w:rPr>
                <w:rFonts w:hint="eastAsia"/>
                <w:szCs w:val="21"/>
              </w:rPr>
              <w:t>德语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编制时间</w:t>
            </w:r>
          </w:p>
        </w:tc>
        <w:tc>
          <w:tcPr>
            <w:tcW w:w="7245" w:type="dxa"/>
            <w:gridSpan w:val="2"/>
            <w:tcBorders>
              <w:top w:val="single" w:color="auto" w:sz="4" w:space="0"/>
            </w:tcBorders>
            <w:tcMar>
              <w:left w:w="57" w:type="dxa"/>
              <w:right w:w="57" w:type="dxa"/>
            </w:tcMar>
            <w:vAlign w:val="center"/>
          </w:tcPr>
          <w:p>
            <w:pPr>
              <w:snapToGrid w:val="0"/>
              <w:spacing w:before="78" w:beforeLines="25" w:line="300" w:lineRule="auto"/>
              <w:jc w:val="left"/>
              <w:rPr>
                <w:szCs w:val="21"/>
              </w:rPr>
            </w:pPr>
            <w:r>
              <w:rPr>
                <w:rFonts w:hint="eastAsia"/>
                <w:szCs w:val="21"/>
              </w:rPr>
              <w:t>20</w:t>
            </w:r>
            <w:r>
              <w:rPr>
                <w:szCs w:val="21"/>
              </w:rPr>
              <w:t>22</w:t>
            </w:r>
            <w:r>
              <w:rPr>
                <w:rFonts w:hint="eastAsia"/>
                <w:szCs w:val="21"/>
              </w:rPr>
              <w:t>年</w:t>
            </w:r>
            <w:r>
              <w:rPr>
                <w:szCs w:val="21"/>
              </w:rPr>
              <w:t>2月17</w:t>
            </w:r>
            <w:r>
              <w:rPr>
                <w:rFonts w:hint="eastAsia"/>
                <w:szCs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10" w:type="dxa"/>
            <w:gridSpan w:val="3"/>
            <w:tcMar>
              <w:left w:w="57" w:type="dxa"/>
              <w:right w:w="57" w:type="dxa"/>
            </w:tcMar>
            <w:vAlign w:val="center"/>
          </w:tcPr>
          <w:p>
            <w:pPr>
              <w:snapToGrid w:val="0"/>
              <w:spacing w:before="78" w:beforeLines="25" w:line="300" w:lineRule="auto"/>
              <w:jc w:val="center"/>
              <w:rPr>
                <w:rFonts w:ascii="黑体" w:hAnsi="宋体" w:eastAsia="黑体"/>
                <w:szCs w:val="21"/>
              </w:rPr>
            </w:pPr>
            <w:r>
              <w:rPr>
                <w:rFonts w:hint="eastAsia" w:ascii="黑体" w:hAnsi="宋体" w:eastAsia="黑体"/>
                <w:szCs w:val="21"/>
              </w:rPr>
              <w:t>课程教材与学习资源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bottom w:val="single" w:color="auto" w:sz="4" w:space="0"/>
            </w:tcBorders>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参考教材</w:t>
            </w:r>
          </w:p>
        </w:tc>
        <w:tc>
          <w:tcPr>
            <w:tcW w:w="7245" w:type="dxa"/>
            <w:gridSpan w:val="2"/>
            <w:tcBorders>
              <w:bottom w:val="single" w:color="auto" w:sz="4" w:space="0"/>
            </w:tcBorders>
            <w:tcMar>
              <w:left w:w="57" w:type="dxa"/>
              <w:right w:w="57" w:type="dxa"/>
            </w:tcMar>
            <w:vAlign w:val="center"/>
          </w:tcPr>
          <w:p>
            <w:pPr>
              <w:rPr>
                <w:b/>
                <w:szCs w:val="21"/>
                <w:lang w:val="de-DE"/>
              </w:rPr>
            </w:pPr>
            <w:r>
              <w:rPr>
                <w:rFonts w:hint="eastAsia"/>
                <w:szCs w:val="21"/>
                <w:lang w:val="de-DE"/>
              </w:rPr>
              <w:t>钱敏汝：《德语报刊导读》，上海外语教育出版社2007年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2" w:hRule="atLeast"/>
        </w:trPr>
        <w:tc>
          <w:tcPr>
            <w:tcW w:w="1565" w:type="dxa"/>
            <w:tcBorders>
              <w:top w:val="single" w:color="auto" w:sz="4" w:space="0"/>
            </w:tcBorders>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教学参考资料及其他学习资源</w:t>
            </w:r>
          </w:p>
        </w:tc>
        <w:tc>
          <w:tcPr>
            <w:tcW w:w="7245" w:type="dxa"/>
            <w:gridSpan w:val="2"/>
            <w:tcBorders>
              <w:top w:val="single" w:color="auto" w:sz="4" w:space="0"/>
            </w:tcBorders>
            <w:tcMar>
              <w:left w:w="57" w:type="dxa"/>
              <w:right w:w="57" w:type="dxa"/>
            </w:tcMar>
            <w:vAlign w:val="center"/>
          </w:tcPr>
          <w:p>
            <w:pPr>
              <w:spacing w:line="420" w:lineRule="exact"/>
              <w:rPr>
                <w:szCs w:val="21"/>
                <w:lang w:val="de-DE"/>
              </w:rPr>
            </w:pPr>
            <w:r>
              <w:rPr>
                <w:rFonts w:hint="eastAsia"/>
                <w:szCs w:val="21"/>
                <w:lang w:val="de-DE"/>
              </w:rPr>
              <w:t>1. Bundeszentrale fuer politische Bildung (Hg.) 2011: Massenmedien. Bonn.</w:t>
            </w:r>
          </w:p>
          <w:p>
            <w:pPr>
              <w:spacing w:line="420" w:lineRule="exact"/>
              <w:rPr>
                <w:szCs w:val="21"/>
                <w:lang w:val="de-DE"/>
              </w:rPr>
            </w:pPr>
            <w:r>
              <w:rPr>
                <w:rFonts w:hint="eastAsia"/>
                <w:szCs w:val="21"/>
                <w:lang w:val="de-DE"/>
              </w:rPr>
              <w:t>2. Medienprojekt der Neuss-Grevenbroicher Zeitung 2013: Die vielen Seiten einer Geschichte. Journalistische Textsorten.</w:t>
            </w:r>
          </w:p>
          <w:p>
            <w:pPr>
              <w:spacing w:line="420" w:lineRule="exact"/>
              <w:rPr>
                <w:szCs w:val="21"/>
                <w:lang w:val="de-DE"/>
              </w:rPr>
            </w:pPr>
            <w:r>
              <w:rPr>
                <w:rFonts w:hint="eastAsia"/>
                <w:szCs w:val="21"/>
                <w:lang w:val="de-DE"/>
              </w:rPr>
              <w:t>3. Meyn, Hermann 2004: Massenmedien in Deutschland. Konstanz.</w:t>
            </w:r>
          </w:p>
          <w:p>
            <w:pPr>
              <w:spacing w:line="420" w:lineRule="exact"/>
              <w:rPr>
                <w:szCs w:val="21"/>
                <w:lang w:val="de-DE"/>
              </w:rPr>
            </w:pPr>
            <w:r>
              <w:rPr>
                <w:rFonts w:hint="eastAsia"/>
                <w:szCs w:val="21"/>
                <w:lang w:val="de-DE"/>
              </w:rPr>
              <w:t>4. S</w:t>
            </w:r>
            <w:r>
              <w:rPr>
                <w:szCs w:val="21"/>
                <w:lang w:val="de-DE"/>
              </w:rPr>
              <w:t>c</w:t>
            </w:r>
            <w:r>
              <w:rPr>
                <w:rFonts w:hint="eastAsia"/>
                <w:szCs w:val="21"/>
                <w:lang w:val="de-DE"/>
              </w:rPr>
              <w:t>hrag, Wolfram 2006: Medienlandschaft Deutschland. Muenchen.</w:t>
            </w:r>
          </w:p>
          <w:p>
            <w:pPr>
              <w:spacing w:line="420" w:lineRule="exact"/>
              <w:rPr>
                <w:szCs w:val="21"/>
                <w:lang w:val="de-DE"/>
              </w:rPr>
            </w:pPr>
            <w:r>
              <w:rPr>
                <w:rFonts w:hint="eastAsia"/>
                <w:szCs w:val="21"/>
                <w:lang w:val="de-DE"/>
              </w:rPr>
              <w:t>5. Die Websites der jeweiligen Zeitungen. Diverse Druckerzeugnisse (etwa Sueddeutsche, FAZ, Bild, Freitag, Bunte, Stern, Bravo etc.)</w:t>
            </w:r>
          </w:p>
          <w:p>
            <w:pPr>
              <w:spacing w:line="25" w:lineRule="atLeast"/>
              <w:rPr>
                <w:sz w:val="24"/>
                <w:lang w:val="de-DE"/>
              </w:rPr>
            </w:pPr>
            <w:r>
              <w:rPr>
                <w:sz w:val="24"/>
                <w:lang w:val="de-DE"/>
              </w:rPr>
              <w:t xml:space="preserve">                      </w:t>
            </w:r>
          </w:p>
          <w:p>
            <w:pPr>
              <w:snapToGrid w:val="0"/>
              <w:spacing w:before="78" w:beforeLines="25" w:line="300" w:lineRule="auto"/>
              <w:ind w:firstLine="420" w:firstLineChars="200"/>
              <w:rPr>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810" w:type="dxa"/>
            <w:gridSpan w:val="3"/>
            <w:tcBorders>
              <w:top w:val="single" w:color="auto" w:sz="4" w:space="0"/>
              <w:left w:val="single" w:color="000000"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szCs w:val="21"/>
              </w:rPr>
            </w:pPr>
            <w:r>
              <w:rPr>
                <w:rFonts w:hint="eastAsia" w:ascii="黑体" w:hAnsi="宋体" w:eastAsia="黑体"/>
                <w:szCs w:val="21"/>
              </w:rPr>
              <w:t>大纲编制人及责任人信息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szCs w:val="21"/>
              </w:rPr>
            </w:pPr>
            <w:r>
              <w:rPr>
                <w:rFonts w:hint="eastAsia" w:ascii="宋体" w:hAnsi="宋体"/>
                <w:szCs w:val="21"/>
              </w:rPr>
              <w:t>大纲编制人员</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宋体" w:hAnsi="宋体"/>
                <w:szCs w:val="21"/>
              </w:rPr>
            </w:pPr>
            <w:r>
              <w:rPr>
                <w:rFonts w:hint="eastAsia" w:ascii="宋体" w:hAnsi="宋体"/>
                <w:szCs w:val="21"/>
              </w:rPr>
              <w:t>郑萌芽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szCs w:val="21"/>
              </w:rPr>
            </w:pPr>
            <w:r>
              <w:rPr>
                <w:rFonts w:hint="eastAsia" w:ascii="宋体" w:hAnsi="宋体"/>
                <w:szCs w:val="21"/>
              </w:rPr>
              <w:t>审核负责人</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宋体" w:hAnsi="宋体"/>
                <w:szCs w:val="21"/>
              </w:rPr>
            </w:pPr>
            <w:r>
              <w:rPr>
                <w:rFonts w:hint="eastAsia" w:ascii="宋体" w:hAnsi="宋体"/>
                <w:szCs w:val="21"/>
              </w:rPr>
              <w:t>余传玲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szCs w:val="21"/>
              </w:rPr>
            </w:pPr>
            <w:r>
              <w:rPr>
                <w:rFonts w:hint="eastAsia" w:ascii="宋体" w:hAnsi="宋体"/>
                <w:szCs w:val="21"/>
              </w:rPr>
              <w:t>审定负责人</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宋体" w:hAnsi="宋体"/>
                <w:szCs w:val="21"/>
              </w:rPr>
            </w:pPr>
            <w:r>
              <w:rPr>
                <w:rFonts w:ascii="宋体" w:hAnsi="宋体"/>
                <w:szCs w:val="21"/>
              </w:rPr>
              <w:t>李大雪</w:t>
            </w:r>
          </w:p>
        </w:tc>
      </w:tr>
    </w:tbl>
    <w:p>
      <w:pPr>
        <w:snapToGrid w:val="0"/>
        <w:spacing w:line="360" w:lineRule="auto"/>
        <w:rPr>
          <w:rFonts w:ascii="黑体" w:hAnsi="宋体" w:eastAsia="黑体"/>
          <w:sz w:val="28"/>
          <w:szCs w:val="28"/>
        </w:rPr>
        <w:sectPr>
          <w:pgSz w:w="11906" w:h="16838"/>
          <w:pgMar w:top="1418" w:right="1418" w:bottom="1418" w:left="1701" w:header="851" w:footer="992" w:gutter="0"/>
          <w:cols w:space="720" w:num="1"/>
          <w:docGrid w:type="lines" w:linePitch="312" w:charSpace="0"/>
        </w:sectPr>
      </w:pPr>
    </w:p>
    <w:p>
      <w:pPr>
        <w:snapToGrid w:val="0"/>
        <w:spacing w:line="360" w:lineRule="auto"/>
        <w:rPr>
          <w:rFonts w:ascii="黑体" w:hAnsi="宋体" w:eastAsia="黑体"/>
          <w:sz w:val="28"/>
          <w:szCs w:val="28"/>
        </w:rPr>
      </w:pPr>
      <w:r>
        <w:rPr>
          <w:rFonts w:hint="eastAsia" w:ascii="黑体" w:hAnsi="宋体" w:eastAsia="黑体"/>
          <w:sz w:val="28"/>
          <w:szCs w:val="28"/>
        </w:rPr>
        <w:t>二、课程目标与任务</w:t>
      </w:r>
    </w:p>
    <w:p>
      <w:pPr>
        <w:rPr>
          <w:rFonts w:eastAsia="黑体"/>
          <w:szCs w:val="21"/>
          <w:lang w:val="de-DE"/>
        </w:rPr>
      </w:pPr>
      <w:r>
        <w:rPr>
          <w:rFonts w:hint="eastAsia" w:eastAsia="黑体"/>
          <w:szCs w:val="21"/>
          <w:lang w:val="de-DE"/>
        </w:rPr>
        <w:t>Ziel des Kurses ist die Studierenden sowohl mit den Spezifika der deutschen Presselandschaft als auch mit den Merkmalen journalistischer Textsorten vertraut zu machen, um Inhalte in Zeitungsartikeln besser verstehen und einsch</w:t>
      </w:r>
      <w:r>
        <w:rPr>
          <w:rFonts w:eastAsia="黑体"/>
          <w:szCs w:val="21"/>
          <w:lang w:val="de-DE"/>
        </w:rPr>
        <w:t>ä</w:t>
      </w:r>
      <w:r>
        <w:rPr>
          <w:rFonts w:hint="eastAsia" w:eastAsia="黑体"/>
          <w:szCs w:val="21"/>
          <w:lang w:val="de-DE"/>
        </w:rPr>
        <w:t>tzen zu k</w:t>
      </w:r>
      <w:r>
        <w:rPr>
          <w:rFonts w:eastAsia="黑体"/>
          <w:szCs w:val="21"/>
          <w:lang w:val="de-DE"/>
        </w:rPr>
        <w:t>ö</w:t>
      </w:r>
      <w:r>
        <w:rPr>
          <w:rFonts w:hint="eastAsia" w:eastAsia="黑体"/>
          <w:szCs w:val="21"/>
          <w:lang w:val="de-DE"/>
        </w:rPr>
        <w:t>nnen. Besonderes Augenmerk wird auf gro</w:t>
      </w:r>
      <w:r>
        <w:rPr>
          <w:rFonts w:eastAsia="黑体"/>
          <w:szCs w:val="21"/>
          <w:lang w:val="de-DE"/>
        </w:rPr>
        <w:t>ß</w:t>
      </w:r>
      <w:r>
        <w:rPr>
          <w:rFonts w:hint="eastAsia" w:eastAsia="黑体"/>
          <w:szCs w:val="21"/>
          <w:lang w:val="de-DE"/>
        </w:rPr>
        <w:t xml:space="preserve">e Tages- und Wochenzeitungen gelegt. Neben der Kenntnis der Presseerzeugnisse (Ausrichtung, Leserschaft, Einfluss) lernen die Studierenden im zweiten Teil des Kurses unterschiedliche journalistische Textarten zu erkennen und zu verstehen (Textmerkmale, Aufbau, inhaltliche Ausrichtungen, Absicht etc.). </w:t>
      </w:r>
      <w:r>
        <w:rPr>
          <w:rFonts w:eastAsia="黑体"/>
          <w:szCs w:val="21"/>
          <w:lang w:val="de-DE"/>
        </w:rPr>
        <w:t>Sprachliche Kompetenzen, Fähigkeiten zur interkulturellen Kommunikation und praktische Fähigkeiten werden in diesem Kurs gefördert. Drüber hinaus orientieren sich die Studierenden dabei an den Xi Jinpings Ideen des Sozialismus chinesischer Prägung im neuen Zeitalter und lernen, wie man richtig mit den politischen Einstellungen in den Zeitungsartikeln umzugehen.</w:t>
      </w:r>
    </w:p>
    <w:p>
      <w:pPr>
        <w:spacing w:line="25" w:lineRule="atLeast"/>
        <w:ind w:firstLine="420" w:firstLineChars="200"/>
        <w:rPr>
          <w:bCs/>
          <w:color w:val="000000"/>
          <w:kern w:val="0"/>
          <w:szCs w:val="21"/>
          <w:lang w:val="de-DE"/>
        </w:rPr>
      </w:pP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三、课程主要内容、要求及学时分配</w:t>
      </w:r>
    </w:p>
    <w:tbl>
      <w:tblPr>
        <w:tblStyle w:val="4"/>
        <w:tblW w:w="90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8"/>
        <w:gridCol w:w="4500"/>
        <w:gridCol w:w="2700"/>
        <w:gridCol w:w="11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jc w:val="center"/>
              <w:rPr>
                <w:rFonts w:ascii="宋体" w:hAnsi="宋体"/>
                <w:szCs w:val="21"/>
              </w:rPr>
            </w:pPr>
            <w:r>
              <w:rPr>
                <w:rFonts w:hint="eastAsia" w:ascii="宋体" w:hAnsi="宋体"/>
                <w:szCs w:val="21"/>
              </w:rPr>
              <w:t>序号</w:t>
            </w:r>
          </w:p>
        </w:tc>
        <w:tc>
          <w:tcPr>
            <w:tcW w:w="4500" w:type="dxa"/>
            <w:vAlign w:val="bottom"/>
          </w:tcPr>
          <w:p>
            <w:pPr>
              <w:snapToGrid w:val="0"/>
              <w:spacing w:before="78" w:beforeLines="25"/>
              <w:jc w:val="center"/>
              <w:rPr>
                <w:rFonts w:ascii="宋体" w:hAnsi="宋体"/>
                <w:szCs w:val="21"/>
              </w:rPr>
            </w:pPr>
            <w:r>
              <w:rPr>
                <w:rFonts w:hint="eastAsia" w:ascii="宋体" w:hAnsi="宋体"/>
                <w:szCs w:val="21"/>
              </w:rPr>
              <w:t>主要内容</w:t>
            </w:r>
          </w:p>
        </w:tc>
        <w:tc>
          <w:tcPr>
            <w:tcW w:w="2700" w:type="dxa"/>
            <w:vAlign w:val="bottom"/>
          </w:tcPr>
          <w:p>
            <w:pPr>
              <w:snapToGrid w:val="0"/>
              <w:spacing w:before="78" w:beforeLines="25"/>
              <w:jc w:val="center"/>
              <w:rPr>
                <w:rFonts w:ascii="宋体" w:hAnsi="宋体"/>
                <w:szCs w:val="21"/>
              </w:rPr>
            </w:pPr>
            <w:r>
              <w:rPr>
                <w:rFonts w:hint="eastAsia" w:ascii="宋体" w:hAnsi="宋体"/>
                <w:szCs w:val="21"/>
              </w:rPr>
              <w:t>基本要求</w:t>
            </w:r>
          </w:p>
        </w:tc>
        <w:tc>
          <w:tcPr>
            <w:tcW w:w="1155" w:type="dxa"/>
            <w:vAlign w:val="bottom"/>
          </w:tcPr>
          <w:p>
            <w:pPr>
              <w:snapToGrid w:val="0"/>
              <w:spacing w:before="78" w:beforeLines="25"/>
              <w:jc w:val="center"/>
              <w:rPr>
                <w:rFonts w:ascii="宋体" w:hAnsi="宋体"/>
                <w:szCs w:val="21"/>
              </w:rPr>
            </w:pPr>
            <w:r>
              <w:rPr>
                <w:rFonts w:hint="eastAsia" w:ascii="宋体" w:hAnsi="宋体"/>
                <w:szCs w:val="21"/>
              </w:rPr>
              <w:t>学时分配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center"/>
          </w:tcPr>
          <w:p>
            <w:pPr>
              <w:snapToGrid w:val="0"/>
              <w:spacing w:before="78" w:beforeLines="25"/>
              <w:ind w:firstLine="105" w:firstLineChars="50"/>
              <w:jc w:val="center"/>
              <w:rPr>
                <w:szCs w:val="21"/>
              </w:rPr>
            </w:pPr>
            <w:r>
              <w:rPr>
                <w:rFonts w:hint="eastAsia"/>
                <w:szCs w:val="21"/>
              </w:rPr>
              <w:t>1</w:t>
            </w:r>
          </w:p>
        </w:tc>
        <w:tc>
          <w:tcPr>
            <w:tcW w:w="4500" w:type="dxa"/>
            <w:vAlign w:val="center"/>
          </w:tcPr>
          <w:p>
            <w:pPr>
              <w:ind w:firstLine="420" w:firstLineChars="200"/>
              <w:rPr>
                <w:lang w:val="de-DE"/>
              </w:rPr>
            </w:pPr>
            <w:r>
              <w:rPr>
                <w:szCs w:val="21"/>
                <w:lang w:val="de-DE"/>
              </w:rPr>
              <w:t>Kennenlernen</w:t>
            </w:r>
            <w:r>
              <w:rPr>
                <w:rFonts w:hint="eastAsia"/>
                <w:szCs w:val="21"/>
                <w:lang w:val="de-DE"/>
              </w:rPr>
              <w:t>, Vorwissen aktivieren</w:t>
            </w:r>
          </w:p>
        </w:tc>
        <w:tc>
          <w:tcPr>
            <w:tcW w:w="2700" w:type="dxa"/>
            <w:vAlign w:val="center"/>
          </w:tcPr>
          <w:p>
            <w:pPr>
              <w:snapToGrid w:val="0"/>
              <w:spacing w:before="78" w:beforeLines="25"/>
              <w:rPr>
                <w:rFonts w:ascii="宋体" w:hAnsi="宋体"/>
                <w:szCs w:val="21"/>
                <w:lang w:val="de-DE"/>
              </w:rPr>
            </w:pPr>
            <w:r>
              <w:rPr>
                <w:szCs w:val="21"/>
                <w:lang w:val="de-DE"/>
              </w:rPr>
              <w:t>Vorstellung aller, Vorwissen aktivieren</w:t>
            </w:r>
          </w:p>
        </w:tc>
        <w:tc>
          <w:tcPr>
            <w:tcW w:w="1155" w:type="dxa"/>
            <w:vAlign w:val="center"/>
          </w:tcPr>
          <w:p>
            <w:pPr>
              <w:snapToGrid w:val="0"/>
              <w:spacing w:before="78" w:beforeLines="25"/>
              <w:jc w:val="center"/>
              <w:rPr>
                <w:rFonts w:ascii="宋体" w:hAnsi="宋体"/>
                <w:szCs w:val="21"/>
              </w:rPr>
            </w:pPr>
            <w:r>
              <w:rPr>
                <w:rFonts w:hint="eastAsia" w:ascii="宋体" w:hAnsi="宋体"/>
                <w:szCs w:val="21"/>
              </w:rPr>
              <w:t>2</w:t>
            </w:r>
            <w:r>
              <w:rPr>
                <w:rFonts w:hint="eastAsia" w:ascii="宋体" w:cs="宋体"/>
                <w:kern w:val="0"/>
                <w:szCs w:val="21"/>
                <w:lang w:val="zh-CN"/>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2</w:t>
            </w:r>
          </w:p>
        </w:tc>
        <w:tc>
          <w:tcPr>
            <w:tcW w:w="4500" w:type="dxa"/>
            <w:vAlign w:val="center"/>
          </w:tcPr>
          <w:p>
            <w:pPr>
              <w:rPr>
                <w:lang w:val="de-DE"/>
              </w:rPr>
            </w:pPr>
            <w:r>
              <w:rPr>
                <w:rFonts w:hint="eastAsia"/>
                <w:szCs w:val="21"/>
                <w:lang w:val="de-DE"/>
              </w:rPr>
              <w:t>Einfuehrung in das Thema</w:t>
            </w:r>
          </w:p>
        </w:tc>
        <w:tc>
          <w:tcPr>
            <w:tcW w:w="2700" w:type="dxa"/>
            <w:vAlign w:val="center"/>
          </w:tcPr>
          <w:p>
            <w:pPr>
              <w:spacing w:line="240" w:lineRule="atLeast"/>
              <w:ind w:leftChars="-21" w:hanging="44" w:hangingChars="21"/>
              <w:jc w:val="left"/>
              <w:rPr>
                <w:szCs w:val="21"/>
                <w:lang w:val="de-DE"/>
              </w:rPr>
            </w:pPr>
            <w:r>
              <w:rPr>
                <w:szCs w:val="21"/>
                <w:lang w:val="de-DE"/>
              </w:rPr>
              <w:t>Inhalte des Seminars klaeren</w:t>
            </w:r>
          </w:p>
          <w:p>
            <w:pPr>
              <w:spacing w:line="240" w:lineRule="atLeast"/>
              <w:rPr>
                <w:szCs w:val="21"/>
                <w:lang w:val="de-DE"/>
              </w:rPr>
            </w:pPr>
            <w:r>
              <w:rPr>
                <w:rFonts w:hint="eastAsia"/>
                <w:szCs w:val="21"/>
                <w:lang w:val="de-DE"/>
              </w:rPr>
              <w:t>Referate vergeben</w:t>
            </w:r>
          </w:p>
        </w:tc>
        <w:tc>
          <w:tcPr>
            <w:tcW w:w="1155" w:type="dxa"/>
            <w:vAlign w:val="center"/>
          </w:tcPr>
          <w:p>
            <w:pPr>
              <w:snapToGrid w:val="0"/>
              <w:spacing w:before="78" w:beforeLines="25"/>
              <w:ind w:firstLine="105" w:firstLineChars="50"/>
              <w:rPr>
                <w:rFonts w:ascii="宋体" w:hAnsi="宋体"/>
                <w:szCs w:val="21"/>
              </w:rPr>
            </w:pPr>
            <w:r>
              <w:rPr>
                <w:rFonts w:hint="eastAsia" w:ascii="宋体" w:hAnsi="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3</w:t>
            </w:r>
          </w:p>
        </w:tc>
        <w:tc>
          <w:tcPr>
            <w:tcW w:w="4500" w:type="dxa"/>
            <w:vAlign w:val="center"/>
          </w:tcPr>
          <w:p>
            <w:pPr>
              <w:rPr>
                <w:lang w:val="de-DE"/>
              </w:rPr>
            </w:pPr>
            <w:r>
              <w:rPr>
                <w:szCs w:val="21"/>
                <w:lang w:val="de-DE"/>
              </w:rPr>
              <w:t xml:space="preserve">Geschichte </w:t>
            </w:r>
            <w:r>
              <w:rPr>
                <w:rFonts w:hint="eastAsia"/>
                <w:szCs w:val="21"/>
                <w:lang w:val="de-DE"/>
              </w:rPr>
              <w:t>der neueren deutsche Presse</w:t>
            </w:r>
          </w:p>
        </w:tc>
        <w:tc>
          <w:tcPr>
            <w:tcW w:w="2700" w:type="dxa"/>
            <w:vAlign w:val="center"/>
          </w:tcPr>
          <w:p>
            <w:pPr>
              <w:spacing w:line="240" w:lineRule="atLeast"/>
              <w:rPr>
                <w:szCs w:val="21"/>
                <w:lang w:val="de-DE"/>
              </w:rPr>
            </w:pPr>
            <w:r>
              <w:rPr>
                <w:rFonts w:hint="eastAsia"/>
                <w:szCs w:val="21"/>
                <w:lang w:val="de-DE"/>
              </w:rPr>
              <w:t>Merkmale der deutschen Presselandschaft, Kennenlernen der Bandbreite deutscher Presseerzeugnisse</w:t>
            </w:r>
          </w:p>
        </w:tc>
        <w:tc>
          <w:tcPr>
            <w:tcW w:w="1155" w:type="dxa"/>
            <w:vAlign w:val="center"/>
          </w:tcPr>
          <w:p>
            <w:pPr>
              <w:snapToGrid w:val="0"/>
              <w:spacing w:before="78" w:beforeLines="25"/>
              <w:ind w:firstLine="105" w:firstLineChars="50"/>
              <w:rPr>
                <w:rFonts w:ascii="宋体" w:hAnsi="宋体"/>
                <w:szCs w:val="21"/>
              </w:rPr>
            </w:pPr>
            <w:r>
              <w:rPr>
                <w:rFonts w:hint="eastAsia" w:ascii="宋体" w:hAnsi="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4</w:t>
            </w:r>
          </w:p>
        </w:tc>
        <w:tc>
          <w:tcPr>
            <w:tcW w:w="4500" w:type="dxa"/>
            <w:vAlign w:val="center"/>
          </w:tcPr>
          <w:p>
            <w:pPr>
              <w:spacing w:line="25" w:lineRule="atLeast"/>
              <w:rPr>
                <w:sz w:val="24"/>
                <w:lang w:val="de-DE"/>
              </w:rPr>
            </w:pPr>
            <w:r>
              <w:rPr>
                <w:rFonts w:hint="eastAsia"/>
                <w:szCs w:val="21"/>
                <w:lang w:val="de-DE"/>
              </w:rPr>
              <w:t>Vortrag durch Dozentin, erstes Umsetzen der kennengelernten moeglichen Unterscheidungsmerkmale von Druckerzeugnissen</w:t>
            </w:r>
          </w:p>
        </w:tc>
        <w:tc>
          <w:tcPr>
            <w:tcW w:w="2700" w:type="dxa"/>
            <w:vAlign w:val="center"/>
          </w:tcPr>
          <w:p>
            <w:pPr>
              <w:spacing w:line="240" w:lineRule="atLeast"/>
              <w:rPr>
                <w:szCs w:val="21"/>
                <w:lang w:val="de-DE"/>
              </w:rPr>
            </w:pPr>
            <w:r>
              <w:rPr>
                <w:rFonts w:hint="eastAsia"/>
                <w:szCs w:val="21"/>
                <w:lang w:val="de-DE"/>
              </w:rPr>
              <w:t>Studierende erarbeiten in Gruppenarbeit Chrakteristika ihrer Zeitung/Zeitschrift und stellen ihr Druckerzeugnis im Kurs vor</w:t>
            </w:r>
          </w:p>
        </w:tc>
        <w:tc>
          <w:tcPr>
            <w:tcW w:w="1155"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5</w:t>
            </w:r>
          </w:p>
        </w:tc>
        <w:tc>
          <w:tcPr>
            <w:tcW w:w="4500" w:type="dxa"/>
            <w:vAlign w:val="center"/>
          </w:tcPr>
          <w:p>
            <w:pPr>
              <w:spacing w:line="25" w:lineRule="atLeast"/>
              <w:rPr>
                <w:sz w:val="24"/>
                <w:lang w:val="de-DE"/>
              </w:rPr>
            </w:pPr>
            <w:r>
              <w:rPr>
                <w:rFonts w:hint="eastAsia"/>
                <w:szCs w:val="21"/>
                <w:lang w:val="de-DE"/>
              </w:rPr>
              <w:t>Sueddeutsche Zeitung, Frankfurter Allgemeine Zeitung und F</w:t>
            </w:r>
            <w:r>
              <w:rPr>
                <w:szCs w:val="21"/>
                <w:lang w:val="de-DE"/>
              </w:rPr>
              <w:t>r</w:t>
            </w:r>
            <w:r>
              <w:rPr>
                <w:rFonts w:hint="eastAsia"/>
                <w:szCs w:val="21"/>
                <w:lang w:val="de-DE"/>
              </w:rPr>
              <w:t>ankfurter Allgemeine Sonntagszeitung, Tageszeitung, Bild und Bild am Sonnta</w:t>
            </w:r>
          </w:p>
        </w:tc>
        <w:tc>
          <w:tcPr>
            <w:tcW w:w="2700" w:type="dxa"/>
            <w:vAlign w:val="center"/>
          </w:tcPr>
          <w:p>
            <w:pPr>
              <w:snapToGrid w:val="0"/>
              <w:spacing w:before="78" w:beforeLines="25"/>
              <w:rPr>
                <w:rFonts w:ascii="宋体" w:hAnsi="宋体"/>
                <w:szCs w:val="21"/>
                <w:lang w:val="de-DE"/>
              </w:rPr>
            </w:pPr>
            <w:r>
              <w:rPr>
                <w:rFonts w:hint="eastAsia"/>
                <w:szCs w:val="21"/>
                <w:lang w:val="de-DE"/>
              </w:rPr>
              <w:t>Kennenlernen wichtiger ueberregionalen Tageszeitungen</w:t>
            </w:r>
          </w:p>
        </w:tc>
        <w:tc>
          <w:tcPr>
            <w:tcW w:w="1155"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6</w:t>
            </w:r>
          </w:p>
        </w:tc>
        <w:tc>
          <w:tcPr>
            <w:tcW w:w="4500" w:type="dxa"/>
            <w:vAlign w:val="center"/>
          </w:tcPr>
          <w:p>
            <w:pPr>
              <w:spacing w:line="240" w:lineRule="atLeast"/>
              <w:rPr>
                <w:szCs w:val="21"/>
                <w:lang w:val="de-DE"/>
              </w:rPr>
            </w:pPr>
            <w:r>
              <w:rPr>
                <w:rFonts w:hint="eastAsia"/>
                <w:szCs w:val="21"/>
                <w:lang w:val="de-DE"/>
              </w:rPr>
              <w:t>Die Zeit, Der Freitag, Der Spiegel, Focus, Stern</w:t>
            </w:r>
          </w:p>
          <w:p>
            <w:pPr>
              <w:rPr>
                <w:lang w:val="de-DE"/>
              </w:rPr>
            </w:pPr>
          </w:p>
        </w:tc>
        <w:tc>
          <w:tcPr>
            <w:tcW w:w="2700" w:type="dxa"/>
            <w:vAlign w:val="center"/>
          </w:tcPr>
          <w:p>
            <w:pPr>
              <w:snapToGrid w:val="0"/>
              <w:spacing w:before="78" w:beforeLines="25"/>
              <w:rPr>
                <w:rFonts w:ascii="宋体" w:hAnsi="宋体"/>
                <w:szCs w:val="21"/>
                <w:lang w:val="de-DE"/>
              </w:rPr>
            </w:pPr>
            <w:r>
              <w:rPr>
                <w:rFonts w:hint="eastAsia"/>
                <w:szCs w:val="21"/>
                <w:lang w:val="de-DE"/>
              </w:rPr>
              <w:t>Kennenlernen wichtiger deutscher Wochenzeitungen und -zeitschriften</w:t>
            </w:r>
          </w:p>
        </w:tc>
        <w:tc>
          <w:tcPr>
            <w:tcW w:w="1155"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7</w:t>
            </w:r>
          </w:p>
        </w:tc>
        <w:tc>
          <w:tcPr>
            <w:tcW w:w="4500" w:type="dxa"/>
            <w:vAlign w:val="center"/>
          </w:tcPr>
          <w:p>
            <w:pPr>
              <w:spacing w:line="240" w:lineRule="atLeast"/>
              <w:rPr>
                <w:szCs w:val="21"/>
                <w:lang w:val="de-DE"/>
              </w:rPr>
            </w:pPr>
            <w:r>
              <w:rPr>
                <w:rFonts w:hint="eastAsia"/>
                <w:szCs w:val="21"/>
                <w:lang w:val="de-DE"/>
              </w:rPr>
              <w:t>Einstieg in journalistische Textsorten, Vorstellung der Artikelsorten: Meldung, Nachricht und Bericht</w:t>
            </w:r>
          </w:p>
        </w:tc>
        <w:tc>
          <w:tcPr>
            <w:tcW w:w="2700" w:type="dxa"/>
            <w:vAlign w:val="center"/>
          </w:tcPr>
          <w:p>
            <w:pPr>
              <w:snapToGrid w:val="0"/>
              <w:spacing w:before="78" w:beforeLines="25"/>
              <w:rPr>
                <w:rFonts w:ascii="宋体" w:hAnsi="宋体"/>
                <w:szCs w:val="21"/>
                <w:lang w:val="de-DE"/>
              </w:rPr>
            </w:pPr>
            <w:r>
              <w:rPr>
                <w:rFonts w:hint="eastAsia"/>
                <w:szCs w:val="21"/>
                <w:lang w:val="de-DE"/>
              </w:rPr>
              <w:t>Meldung, Nachricht, Bericht</w:t>
            </w:r>
          </w:p>
        </w:tc>
        <w:tc>
          <w:tcPr>
            <w:tcW w:w="1155"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8</w:t>
            </w:r>
          </w:p>
        </w:tc>
        <w:tc>
          <w:tcPr>
            <w:tcW w:w="4500" w:type="dxa"/>
            <w:vAlign w:val="center"/>
          </w:tcPr>
          <w:p>
            <w:pPr>
              <w:spacing w:line="25" w:lineRule="atLeast"/>
              <w:rPr>
                <w:sz w:val="24"/>
                <w:lang w:val="de-DE"/>
              </w:rPr>
            </w:pPr>
            <w:r>
              <w:rPr>
                <w:rFonts w:hint="eastAsia"/>
                <w:szCs w:val="21"/>
                <w:lang w:val="de-DE"/>
              </w:rPr>
              <w:t>Einstieg meinungszentrierte Textsorten, Vorstellung der Textsorten: Kommentar, Glosse und Leitartikel</w:t>
            </w:r>
          </w:p>
        </w:tc>
        <w:tc>
          <w:tcPr>
            <w:tcW w:w="2700" w:type="dxa"/>
            <w:vAlign w:val="center"/>
          </w:tcPr>
          <w:p>
            <w:pPr>
              <w:snapToGrid w:val="0"/>
              <w:spacing w:before="78" w:beforeLines="25"/>
              <w:rPr>
                <w:rFonts w:ascii="宋体" w:hAnsi="宋体"/>
                <w:szCs w:val="21"/>
                <w:lang w:val="de-DE"/>
              </w:rPr>
            </w:pPr>
            <w:r>
              <w:rPr>
                <w:rFonts w:hint="eastAsia"/>
                <w:szCs w:val="21"/>
                <w:lang w:val="de-DE"/>
              </w:rPr>
              <w:t>Kommentar, Glosse, Leitartikel</w:t>
            </w:r>
          </w:p>
        </w:tc>
        <w:tc>
          <w:tcPr>
            <w:tcW w:w="1155"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9</w:t>
            </w:r>
          </w:p>
        </w:tc>
        <w:tc>
          <w:tcPr>
            <w:tcW w:w="4500" w:type="dxa"/>
            <w:vAlign w:val="center"/>
          </w:tcPr>
          <w:p>
            <w:pPr>
              <w:spacing w:line="240" w:lineRule="atLeast"/>
              <w:rPr>
                <w:szCs w:val="21"/>
                <w:lang w:val="de-DE"/>
              </w:rPr>
            </w:pPr>
            <w:r>
              <w:rPr>
                <w:rFonts w:hint="eastAsia"/>
                <w:szCs w:val="21"/>
                <w:lang w:val="de-DE"/>
              </w:rPr>
              <w:t>Vertiefen der bisher erworbenen Kenntnisse zu informations- und meinungsbasierter Textsorten: Nachricht und Kommentar</w:t>
            </w:r>
          </w:p>
        </w:tc>
        <w:tc>
          <w:tcPr>
            <w:tcW w:w="2700" w:type="dxa"/>
            <w:vAlign w:val="center"/>
          </w:tcPr>
          <w:p>
            <w:pPr>
              <w:spacing w:line="240" w:lineRule="atLeast"/>
              <w:rPr>
                <w:szCs w:val="21"/>
                <w:lang w:val="de-DE"/>
              </w:rPr>
            </w:pPr>
            <w:r>
              <w:rPr>
                <w:rFonts w:hint="eastAsia"/>
                <w:szCs w:val="21"/>
                <w:lang w:val="de-DE"/>
              </w:rPr>
              <w:t>Vergleich informations- und meinungsbasierter Textsorten: Nachricht und Kommentar</w:t>
            </w:r>
            <w:r>
              <w:rPr>
                <w:sz w:val="24"/>
                <w:lang w:val="de-DE"/>
              </w:rPr>
              <w:t>.</w:t>
            </w:r>
          </w:p>
        </w:tc>
        <w:tc>
          <w:tcPr>
            <w:tcW w:w="1155"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r>
              <w:rPr>
                <w:rFonts w:hint="eastAsia" w:ascii="宋体" w:cs="宋体"/>
                <w:kern w:val="0"/>
                <w:szCs w:val="21"/>
                <w:lang w:val="zh-CN"/>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10</w:t>
            </w:r>
          </w:p>
        </w:tc>
        <w:tc>
          <w:tcPr>
            <w:tcW w:w="4500" w:type="dxa"/>
            <w:vAlign w:val="center"/>
          </w:tcPr>
          <w:p>
            <w:pPr>
              <w:spacing w:line="240" w:lineRule="atLeast"/>
              <w:rPr>
                <w:szCs w:val="21"/>
                <w:lang w:val="de-DE"/>
              </w:rPr>
            </w:pPr>
            <w:r>
              <w:rPr>
                <w:rFonts w:hint="eastAsia"/>
                <w:szCs w:val="21"/>
                <w:lang w:val="de-DE"/>
              </w:rPr>
              <w:t>Zusammenfassung des bisher Gelernten, Vorstellung der Textsorten: Reportage, Portraet und Interview</w:t>
            </w:r>
          </w:p>
        </w:tc>
        <w:tc>
          <w:tcPr>
            <w:tcW w:w="2700" w:type="dxa"/>
            <w:vAlign w:val="center"/>
          </w:tcPr>
          <w:p>
            <w:pPr>
              <w:snapToGrid w:val="0"/>
              <w:spacing w:before="78" w:beforeLines="25"/>
              <w:rPr>
                <w:rFonts w:ascii="宋体" w:hAnsi="宋体"/>
                <w:szCs w:val="21"/>
                <w:lang w:val="de-DE"/>
              </w:rPr>
            </w:pPr>
            <w:r>
              <w:rPr>
                <w:rFonts w:hint="eastAsia"/>
                <w:szCs w:val="21"/>
                <w:lang w:val="de-DE"/>
              </w:rPr>
              <w:t>Reportage, Portraet und Interview</w:t>
            </w:r>
          </w:p>
        </w:tc>
        <w:tc>
          <w:tcPr>
            <w:tcW w:w="1155" w:type="dxa"/>
            <w:vAlign w:val="center"/>
          </w:tcPr>
          <w:p>
            <w:pPr>
              <w:snapToGrid w:val="0"/>
              <w:spacing w:before="78" w:beforeLines="25"/>
              <w:ind w:firstLine="105" w:firstLineChars="50"/>
              <w:rPr>
                <w:rFonts w:ascii="宋体" w:hAnsi="宋体"/>
                <w:szCs w:val="21"/>
                <w:lang w:val="de-DE"/>
              </w:rPr>
            </w:pPr>
            <w:r>
              <w:rPr>
                <w:rFonts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11</w:t>
            </w:r>
          </w:p>
        </w:tc>
        <w:tc>
          <w:tcPr>
            <w:tcW w:w="4500" w:type="dxa"/>
            <w:vAlign w:val="center"/>
          </w:tcPr>
          <w:p>
            <w:pPr>
              <w:spacing w:line="240" w:lineRule="atLeast"/>
              <w:rPr>
                <w:szCs w:val="21"/>
                <w:lang w:val="de-DE"/>
              </w:rPr>
            </w:pPr>
            <w:r>
              <w:rPr>
                <w:rFonts w:hint="eastAsia"/>
                <w:szCs w:val="21"/>
                <w:lang w:val="de-DE"/>
              </w:rPr>
              <w:t>Vertiefen und Festigen des in der vorherigen Woche erworbenen Wissens zu Reportage</w:t>
            </w:r>
          </w:p>
        </w:tc>
        <w:tc>
          <w:tcPr>
            <w:tcW w:w="2700" w:type="dxa"/>
            <w:vAlign w:val="center"/>
          </w:tcPr>
          <w:p>
            <w:pPr>
              <w:snapToGrid w:val="0"/>
              <w:spacing w:before="78" w:beforeLines="25"/>
              <w:rPr>
                <w:rFonts w:ascii="宋体" w:hAnsi="宋体"/>
                <w:szCs w:val="21"/>
                <w:lang w:val="de-DE"/>
              </w:rPr>
            </w:pPr>
            <w:r>
              <w:rPr>
                <w:rFonts w:hint="eastAsia"/>
                <w:szCs w:val="21"/>
                <w:lang w:val="de-DE"/>
              </w:rPr>
              <w:t>Vertiefen des Wissens zu Reportage</w:t>
            </w:r>
          </w:p>
        </w:tc>
        <w:tc>
          <w:tcPr>
            <w:tcW w:w="1155"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12</w:t>
            </w:r>
          </w:p>
        </w:tc>
        <w:tc>
          <w:tcPr>
            <w:tcW w:w="4500" w:type="dxa"/>
            <w:vAlign w:val="center"/>
          </w:tcPr>
          <w:p>
            <w:pPr>
              <w:rPr>
                <w:lang w:val="de-DE"/>
              </w:rPr>
            </w:pPr>
            <w:r>
              <w:rPr>
                <w:rFonts w:hint="eastAsia"/>
                <w:szCs w:val="21"/>
                <w:lang w:val="de-DE"/>
              </w:rPr>
              <w:t>Zusammenfassung des bisher Gelernten, Vorstellung der Textsorten: Kritik, Rezension und Leserbrief</w:t>
            </w:r>
          </w:p>
        </w:tc>
        <w:tc>
          <w:tcPr>
            <w:tcW w:w="2700" w:type="dxa"/>
            <w:vAlign w:val="center"/>
          </w:tcPr>
          <w:p>
            <w:pPr>
              <w:spacing w:line="240" w:lineRule="atLeast"/>
              <w:rPr>
                <w:szCs w:val="21"/>
                <w:lang w:val="de-DE"/>
              </w:rPr>
            </w:pPr>
            <w:r>
              <w:rPr>
                <w:rFonts w:hint="eastAsia"/>
                <w:szCs w:val="21"/>
                <w:lang w:val="de-DE"/>
              </w:rPr>
              <w:t>Kennenlernen Kritik, Rezension und Leserbrief</w:t>
            </w:r>
          </w:p>
          <w:p>
            <w:pPr>
              <w:spacing w:line="25" w:lineRule="atLeast"/>
              <w:rPr>
                <w:sz w:val="24"/>
                <w:lang w:val="de-DE"/>
              </w:rPr>
            </w:pPr>
          </w:p>
        </w:tc>
        <w:tc>
          <w:tcPr>
            <w:tcW w:w="1155"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13</w:t>
            </w:r>
          </w:p>
        </w:tc>
        <w:tc>
          <w:tcPr>
            <w:tcW w:w="4500" w:type="dxa"/>
            <w:vAlign w:val="center"/>
          </w:tcPr>
          <w:p>
            <w:pPr>
              <w:spacing w:line="25" w:lineRule="atLeast"/>
              <w:rPr>
                <w:sz w:val="24"/>
                <w:lang w:val="de-DE"/>
              </w:rPr>
            </w:pPr>
            <w:r>
              <w:rPr>
                <w:rFonts w:hint="eastAsia"/>
                <w:szCs w:val="21"/>
                <w:lang w:val="de-DE"/>
              </w:rPr>
              <w:t>Informationsquellen, Nachrichtenfluss</w:t>
            </w:r>
          </w:p>
        </w:tc>
        <w:tc>
          <w:tcPr>
            <w:tcW w:w="2700" w:type="dxa"/>
            <w:vAlign w:val="center"/>
          </w:tcPr>
          <w:p>
            <w:pPr>
              <w:snapToGrid w:val="0"/>
              <w:spacing w:before="78" w:beforeLines="25"/>
              <w:rPr>
                <w:rFonts w:ascii="宋体" w:hAnsi="宋体"/>
                <w:szCs w:val="21"/>
                <w:lang w:val="de-DE"/>
              </w:rPr>
            </w:pPr>
            <w:r>
              <w:rPr>
                <w:rFonts w:hint="eastAsia"/>
                <w:szCs w:val="21"/>
                <w:lang w:val="de-DE"/>
              </w:rPr>
              <w:t>Verstehen wie Journalisten in Deutschland an Informationen kommen und wie daraus Nachrichten werden.</w:t>
            </w:r>
          </w:p>
        </w:tc>
        <w:tc>
          <w:tcPr>
            <w:tcW w:w="1155"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14</w:t>
            </w:r>
          </w:p>
        </w:tc>
        <w:tc>
          <w:tcPr>
            <w:tcW w:w="4500" w:type="dxa"/>
            <w:vAlign w:val="center"/>
          </w:tcPr>
          <w:p>
            <w:pPr>
              <w:spacing w:line="240" w:lineRule="atLeast"/>
              <w:rPr>
                <w:szCs w:val="21"/>
                <w:lang w:val="de-DE"/>
              </w:rPr>
            </w:pPr>
            <w:r>
              <w:rPr>
                <w:rFonts w:hint="eastAsia"/>
                <w:szCs w:val="21"/>
                <w:lang w:val="de-DE"/>
              </w:rPr>
              <w:t>Wie entstehen gute und verstaendliche Artikel</w:t>
            </w:r>
          </w:p>
          <w:p>
            <w:pPr>
              <w:spacing w:line="25" w:lineRule="atLeast"/>
              <w:rPr>
                <w:sz w:val="24"/>
                <w:lang w:val="de-DE"/>
              </w:rPr>
            </w:pPr>
          </w:p>
        </w:tc>
        <w:tc>
          <w:tcPr>
            <w:tcW w:w="2700" w:type="dxa"/>
            <w:vAlign w:val="center"/>
          </w:tcPr>
          <w:p>
            <w:pPr>
              <w:snapToGrid w:val="0"/>
              <w:spacing w:before="78" w:beforeLines="25"/>
              <w:rPr>
                <w:rFonts w:ascii="宋体" w:hAnsi="宋体"/>
                <w:szCs w:val="21"/>
                <w:lang w:val="de-DE"/>
              </w:rPr>
            </w:pPr>
            <w:r>
              <w:rPr>
                <w:rFonts w:hint="eastAsia"/>
                <w:szCs w:val="21"/>
                <w:lang w:val="de-DE"/>
              </w:rPr>
              <w:t>Nachrichtenroutinen, gutes und verstaendliches Schreiben</w:t>
            </w:r>
          </w:p>
        </w:tc>
        <w:tc>
          <w:tcPr>
            <w:tcW w:w="1155" w:type="dxa"/>
            <w:vAlign w:val="center"/>
          </w:tcPr>
          <w:p>
            <w:pPr>
              <w:snapToGrid w:val="0"/>
              <w:spacing w:before="78" w:beforeLines="25"/>
              <w:ind w:firstLine="105" w:firstLineChars="50"/>
              <w:rPr>
                <w:rFonts w:ascii="宋体" w:hAnsi="宋体"/>
                <w:szCs w:val="21"/>
              </w:rPr>
            </w:pPr>
            <w:r>
              <w:rPr>
                <w:rFonts w:hint="eastAsia" w:ascii="宋体" w:hAnsi="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15</w:t>
            </w:r>
          </w:p>
        </w:tc>
        <w:tc>
          <w:tcPr>
            <w:tcW w:w="4500" w:type="dxa"/>
            <w:vAlign w:val="center"/>
          </w:tcPr>
          <w:p>
            <w:pPr>
              <w:spacing w:line="240" w:lineRule="atLeast"/>
              <w:rPr>
                <w:szCs w:val="21"/>
                <w:lang w:val="de-DE"/>
              </w:rPr>
            </w:pPr>
            <w:r>
              <w:rPr>
                <w:rFonts w:hint="eastAsia"/>
                <w:szCs w:val="21"/>
                <w:lang w:val="de-DE"/>
              </w:rPr>
              <w:t>Nach Festlegung eines Themas und der Textsorte, Zusammentragen von notwendigen Informationen verfassen die Studierenden einen Artikel (Thema finden, Konzipieren, Formulieren)</w:t>
            </w:r>
          </w:p>
        </w:tc>
        <w:tc>
          <w:tcPr>
            <w:tcW w:w="2700" w:type="dxa"/>
            <w:vAlign w:val="center"/>
          </w:tcPr>
          <w:p>
            <w:pPr>
              <w:snapToGrid w:val="0"/>
              <w:spacing w:before="78" w:beforeLines="25"/>
              <w:rPr>
                <w:rFonts w:ascii="宋体" w:hAnsi="宋体"/>
                <w:szCs w:val="21"/>
                <w:lang w:val="de-DE"/>
              </w:rPr>
            </w:pPr>
            <w:r>
              <w:rPr>
                <w:rFonts w:hint="eastAsia"/>
                <w:szCs w:val="21"/>
                <w:lang w:val="de-DE"/>
              </w:rPr>
              <w:t>Festigen des Wissens durch Anwendung: Artikel verfassen</w:t>
            </w:r>
          </w:p>
        </w:tc>
        <w:tc>
          <w:tcPr>
            <w:tcW w:w="1155" w:type="dxa"/>
            <w:vAlign w:val="center"/>
          </w:tcPr>
          <w:p>
            <w:pPr>
              <w:snapToGrid w:val="0"/>
              <w:spacing w:before="78" w:beforeLines="25"/>
              <w:ind w:firstLine="105" w:firstLineChars="50"/>
              <w:rPr>
                <w:rFonts w:ascii="宋体" w:hAnsi="宋体"/>
                <w:szCs w:val="21"/>
              </w:rPr>
            </w:pPr>
            <w:r>
              <w:rPr>
                <w:rFonts w:ascii="宋体" w:hAnsi="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16</w:t>
            </w:r>
          </w:p>
        </w:tc>
        <w:tc>
          <w:tcPr>
            <w:tcW w:w="4500" w:type="dxa"/>
            <w:vAlign w:val="center"/>
          </w:tcPr>
          <w:p>
            <w:pPr>
              <w:spacing w:line="25" w:lineRule="atLeast"/>
              <w:rPr>
                <w:sz w:val="24"/>
                <w:lang w:val="de-DE"/>
              </w:rPr>
            </w:pPr>
            <w:r>
              <w:rPr>
                <w:rFonts w:hint="eastAsia"/>
                <w:szCs w:val="21"/>
                <w:lang w:val="de-DE"/>
              </w:rPr>
              <w:t>Studierende stellen ihre Artikel fertig, eine andere Gruppe redigiert den Artikel</w:t>
            </w:r>
          </w:p>
        </w:tc>
        <w:tc>
          <w:tcPr>
            <w:tcW w:w="2700" w:type="dxa"/>
            <w:vAlign w:val="center"/>
          </w:tcPr>
          <w:p>
            <w:pPr>
              <w:snapToGrid w:val="0"/>
              <w:spacing w:before="78" w:beforeLines="25"/>
              <w:rPr>
                <w:rFonts w:ascii="宋体" w:hAnsi="宋体"/>
                <w:szCs w:val="21"/>
                <w:lang w:val="de-DE"/>
              </w:rPr>
            </w:pPr>
            <w:r>
              <w:rPr>
                <w:rFonts w:hint="eastAsia"/>
                <w:szCs w:val="21"/>
                <w:lang w:val="de-DE"/>
              </w:rPr>
              <w:t>Artikel verfassen und dem Kurs vorstellen</w:t>
            </w:r>
          </w:p>
        </w:tc>
        <w:tc>
          <w:tcPr>
            <w:tcW w:w="1155" w:type="dxa"/>
            <w:vAlign w:val="center"/>
          </w:tcPr>
          <w:p>
            <w:pPr>
              <w:snapToGrid w:val="0"/>
              <w:spacing w:before="78" w:beforeLines="25"/>
              <w:ind w:firstLine="105" w:firstLineChars="50"/>
              <w:rPr>
                <w:rFonts w:ascii="宋体" w:hAnsi="宋体"/>
                <w:szCs w:val="21"/>
              </w:rPr>
            </w:pPr>
            <w:r>
              <w:rPr>
                <w:rFonts w:hint="eastAsia" w:ascii="宋体" w:hAnsi="宋体"/>
                <w:szCs w:val="21"/>
              </w:rPr>
              <w:t>2</w:t>
            </w:r>
          </w:p>
        </w:tc>
      </w:tr>
    </w:tbl>
    <w:p>
      <w:pPr>
        <w:snapToGrid w:val="0"/>
        <w:spacing w:before="156" w:beforeLines="50" w:line="360" w:lineRule="auto"/>
        <w:rPr>
          <w:rFonts w:ascii="黑体" w:hAnsi="宋体" w:eastAsia="黑体"/>
          <w:sz w:val="28"/>
          <w:szCs w:val="28"/>
        </w:rPr>
      </w:pP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四、主要教学方法与手段</w:t>
      </w:r>
    </w:p>
    <w:p>
      <w:pPr>
        <w:rPr>
          <w:rFonts w:eastAsia="黑体"/>
          <w:szCs w:val="21"/>
          <w:lang w:val="de-DE"/>
        </w:rPr>
      </w:pPr>
      <w:r>
        <w:rPr>
          <w:rFonts w:hint="eastAsia" w:eastAsia="黑体"/>
          <w:szCs w:val="21"/>
          <w:lang w:val="de-DE"/>
        </w:rPr>
        <w:t xml:space="preserve">Das Erwerben des Leseverstaendnisses fuer unterschiedliche journalistischen Textsorten erfolgt mehrstufig: (Rezeptiver Bereich </w:t>
      </w:r>
      <w:r>
        <w:rPr>
          <w:rFonts w:eastAsia="黑体"/>
          <w:szCs w:val="21"/>
          <w:lang w:val="de-DE"/>
        </w:rPr>
        <w:t>–</w:t>
      </w:r>
      <w:r>
        <w:rPr>
          <w:rFonts w:hint="eastAsia" w:eastAsia="黑体"/>
          <w:szCs w:val="21"/>
          <w:lang w:val="de-DE"/>
        </w:rPr>
        <w:t xml:space="preserve"> Textkenntnis) Kennenlernen spezifischer Textmerkmale durch Referate, vertiefen durch Textarbeit in der Klasse, Festigung durch Gruppenarbeit an Texten, (produktiver Bereich ) Texte verfassen. Selber Texte zu verfassen setzt gute Kenntnisse der spezifischen Textmerkmale voraus. Das Verfassen erfordert nochmals eine intensivere Auseinandersetzung mit den Texttypen und das Anwenden fuehrt zu einer gefestigteren Kenntnis.</w:t>
      </w:r>
    </w:p>
    <w:p>
      <w:pPr>
        <w:rPr>
          <w:szCs w:val="21"/>
          <w:lang w:val="de-DE"/>
        </w:rPr>
      </w:pPr>
      <w:r>
        <w:rPr>
          <w:rFonts w:eastAsia="黑体"/>
          <w:szCs w:val="21"/>
          <w:lang w:val="de-DE"/>
        </w:rPr>
        <w:t xml:space="preserve">Moeglichst dialogisches Arbeiten, Gruppenarbeit/-referate, </w:t>
      </w:r>
      <w:r>
        <w:rPr>
          <w:rFonts w:hint="eastAsia" w:eastAsia="黑体"/>
          <w:szCs w:val="21"/>
          <w:lang w:val="de-DE"/>
        </w:rPr>
        <w:t>Umsetzung des gelernten Wissens.</w:t>
      </w:r>
    </w:p>
    <w:p>
      <w:pPr>
        <w:tabs>
          <w:tab w:val="left" w:pos="6280"/>
        </w:tabs>
        <w:spacing w:line="25" w:lineRule="atLeast"/>
        <w:ind w:firstLine="600" w:firstLineChars="250"/>
        <w:rPr>
          <w:sz w:val="24"/>
          <w:lang w:val="de-DE"/>
        </w:rPr>
      </w:pPr>
      <w:r>
        <w:rPr>
          <w:sz w:val="24"/>
          <w:lang w:val="de-DE"/>
        </w:rPr>
        <w:tab/>
      </w:r>
    </w:p>
    <w:p>
      <w:pPr>
        <w:spacing w:line="360" w:lineRule="auto"/>
        <w:ind w:firstLine="420" w:firstLineChars="200"/>
        <w:rPr>
          <w:lang w:val="de-DE"/>
        </w:rPr>
      </w:pP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五、课程考核和成绩评定</w:t>
      </w:r>
    </w:p>
    <w:p>
      <w:pPr>
        <w:spacing w:line="360" w:lineRule="auto"/>
        <w:rPr>
          <w:rFonts w:eastAsia="黑体"/>
          <w:szCs w:val="28"/>
          <w:lang w:val="de-DE"/>
        </w:rPr>
      </w:pPr>
      <w:r>
        <w:rPr>
          <w:rFonts w:hint="eastAsia" w:eastAsia="黑体"/>
          <w:szCs w:val="28"/>
          <w:lang w:val="de-DE"/>
        </w:rPr>
        <w:t>Referate im Verlaufe des Semesters</w:t>
      </w:r>
      <w:r>
        <w:rPr>
          <w:rFonts w:eastAsia="黑体"/>
          <w:szCs w:val="28"/>
          <w:lang w:val="de-DE"/>
        </w:rPr>
        <w:t xml:space="preserve"> </w:t>
      </w:r>
      <w:r>
        <w:rPr>
          <w:rFonts w:hint="eastAsia" w:eastAsia="黑体"/>
          <w:szCs w:val="28"/>
          <w:lang w:val="de-DE"/>
        </w:rPr>
        <w:t>30%</w:t>
      </w:r>
    </w:p>
    <w:p>
      <w:pPr>
        <w:spacing w:line="360" w:lineRule="auto"/>
      </w:pPr>
      <w:r>
        <w:rPr>
          <w:rFonts w:hint="eastAsia" w:eastAsia="黑体"/>
          <w:szCs w:val="28"/>
          <w:lang w:val="de-DE"/>
        </w:rPr>
        <w:t>Sem</w:t>
      </w:r>
      <w:r>
        <w:rPr>
          <w:rFonts w:eastAsia="黑体"/>
          <w:szCs w:val="28"/>
          <w:lang w:val="de-DE"/>
        </w:rPr>
        <w:t>esterprüfung 70%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366"/>
    <w:rsid w:val="00031E4A"/>
    <w:rsid w:val="0008275F"/>
    <w:rsid w:val="00085B84"/>
    <w:rsid w:val="00096D32"/>
    <w:rsid w:val="001702E8"/>
    <w:rsid w:val="00173F82"/>
    <w:rsid w:val="001A7C44"/>
    <w:rsid w:val="00245F17"/>
    <w:rsid w:val="002B0A6D"/>
    <w:rsid w:val="002C6422"/>
    <w:rsid w:val="002C7049"/>
    <w:rsid w:val="003476CC"/>
    <w:rsid w:val="00371C42"/>
    <w:rsid w:val="003D4264"/>
    <w:rsid w:val="00414868"/>
    <w:rsid w:val="00486385"/>
    <w:rsid w:val="004A08CA"/>
    <w:rsid w:val="004A1872"/>
    <w:rsid w:val="005878DD"/>
    <w:rsid w:val="005F0D5C"/>
    <w:rsid w:val="00705E60"/>
    <w:rsid w:val="00744360"/>
    <w:rsid w:val="00750562"/>
    <w:rsid w:val="00764FAB"/>
    <w:rsid w:val="007C67A0"/>
    <w:rsid w:val="007D49AE"/>
    <w:rsid w:val="008F33B0"/>
    <w:rsid w:val="008F5F95"/>
    <w:rsid w:val="00983573"/>
    <w:rsid w:val="00A12E26"/>
    <w:rsid w:val="00A9659C"/>
    <w:rsid w:val="00AD34DE"/>
    <w:rsid w:val="00BC58A7"/>
    <w:rsid w:val="00BD0366"/>
    <w:rsid w:val="00C317FF"/>
    <w:rsid w:val="00C74DB2"/>
    <w:rsid w:val="00CE59AF"/>
    <w:rsid w:val="00D77DC6"/>
    <w:rsid w:val="00D92AA6"/>
    <w:rsid w:val="00DF13FF"/>
    <w:rsid w:val="00E36B13"/>
    <w:rsid w:val="00E63610"/>
    <w:rsid w:val="00F23CEB"/>
    <w:rsid w:val="00F47EF7"/>
    <w:rsid w:val="00F50C08"/>
    <w:rsid w:val="00FA1910"/>
    <w:rsid w:val="00FB0006"/>
    <w:rsid w:val="00FD3966"/>
    <w:rsid w:val="00FE327C"/>
    <w:rsid w:val="21DF4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unhideWhenUsed/>
    <w:qFormat/>
    <w:uiPriority w:val="99"/>
    <w:rPr>
      <w:color w:val="1A66B3"/>
      <w:u w:val="none"/>
    </w:rPr>
  </w:style>
  <w:style w:type="character" w:customStyle="1" w:styleId="7">
    <w:name w:val="页眉 字符"/>
    <w:basedOn w:val="5"/>
    <w:link w:val="3"/>
    <w:qFormat/>
    <w:uiPriority w:val="99"/>
    <w:rPr>
      <w:rFonts w:ascii="Times New Roman" w:hAnsi="Times New Roman" w:eastAsia="宋体" w:cs="Times New Roman"/>
      <w:sz w:val="18"/>
      <w:szCs w:val="18"/>
    </w:rPr>
  </w:style>
  <w:style w:type="character" w:customStyle="1" w:styleId="8">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729</Words>
  <Characters>4160</Characters>
  <Lines>34</Lines>
  <Paragraphs>9</Paragraphs>
  <TotalTime>5</TotalTime>
  <ScaleCrop>false</ScaleCrop>
  <LinksUpToDate>false</LinksUpToDate>
  <CharactersWithSpaces>4880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2022-02-17T03:56:00Z</dcterms:created>
  <dc:creator>mac</dc:creator>
  <cp:lastModifiedBy>YUCHUANLING</cp:lastModifiedBy>
  <dcterms:modified xsi:type="dcterms:W3CDTF">2022-02-17T07:36:39Z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