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黑体" w:hAnsi="宋体" w:eastAsia="黑体" w:cs="Times New Roman"/>
          <w:color w:val="000000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color w:val="000000"/>
          <w:sz w:val="32"/>
          <w:szCs w:val="32"/>
          <w:lang w:val="en-US"/>
        </w:rPr>
        <w:t>《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/>
        </w:rPr>
        <w:t>阅读与讨论</w:t>
      </w:r>
      <w:r>
        <w:rPr>
          <w:rFonts w:hint="eastAsia" w:ascii="黑体" w:hAnsi="宋体" w:eastAsia="黑体" w:cs="Times New Roman"/>
          <w:color w:val="000000"/>
          <w:sz w:val="32"/>
          <w:szCs w:val="32"/>
          <w:lang w:val="en-US"/>
        </w:rPr>
        <w:t>》课程教学大纲</w:t>
      </w:r>
    </w:p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ascii="黑体" w:hAnsi="宋体" w:eastAsia="黑体" w:cs="Times New Roman"/>
          <w:color w:val="000000"/>
          <w:sz w:val="28"/>
          <w:szCs w:val="28"/>
          <w:lang w:val="en-US"/>
        </w:rPr>
        <w:t>一、课程</w:t>
      </w: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基本信息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3402"/>
        <w:gridCol w:w="3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Cs w:val="21"/>
                <w:lang w:val="en-US"/>
              </w:rPr>
              <w:t>阅读与讨论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德文名称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00" w:lineRule="exact"/>
              <w:ind w:firstLine="105" w:firstLineChars="5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Lesen und Diskutieren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课程代码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5"/>
              </w:rPr>
              <w:t>ZYK0210035</w:t>
            </w:r>
          </w:p>
        </w:tc>
        <w:tc>
          <w:tcPr>
            <w:tcW w:w="3843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center"/>
              <w:rPr>
                <w:rFonts w:ascii="Times New Roman" w:hAnsi="Times New Roman" w:eastAsia="黑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Cs w:val="21"/>
                <w:lang w:val="en-US"/>
              </w:rPr>
              <w:t>与其他课程关系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课程性质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专业限选</w:t>
            </w:r>
          </w:p>
        </w:tc>
        <w:tc>
          <w:tcPr>
            <w:tcW w:w="3843" w:type="dxa"/>
            <w:vMerge w:val="restart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</w:rPr>
              <w:t>先修课程：此前五个学期的德语学习课程。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学时/学分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32学时/2学分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34" w:leftChars="16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考核方式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考试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开课学期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第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学期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开课院系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德语学院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20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17日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黑体" w:hAnsi="宋体" w:eastAsia="黑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黑体" w:hAnsi="宋体" w:eastAsia="黑体" w:cs="Times New Roman"/>
                <w:color w:val="000000"/>
                <w:szCs w:val="21"/>
                <w:lang w:val="en-US"/>
              </w:rPr>
              <w:t>课程教材与学习资源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教材</w:t>
            </w:r>
          </w:p>
        </w:tc>
        <w:tc>
          <w:tcPr>
            <w:tcW w:w="7245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徐立华：《德福考前必备——阅读》，高等教育出版社，2</w:t>
            </w:r>
            <w:r>
              <w:t>014</w:t>
            </w:r>
            <w:r>
              <w:rPr>
                <w:rFonts w:hint="eastAsia"/>
              </w:rPr>
              <w:t>年</w:t>
            </w:r>
          </w:p>
          <w:p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</w:trPr>
        <w:tc>
          <w:tcPr>
            <w:tcW w:w="1565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b/>
                <w:bCs/>
                <w:sz w:val="24"/>
              </w:rPr>
              <w:t>参考网页</w:t>
            </w:r>
            <w:r>
              <w:rPr>
                <w:rFonts w:hint="eastAsia"/>
                <w:b/>
                <w:bCs/>
                <w:sz w:val="24"/>
                <w:lang w:val="en-US"/>
              </w:rPr>
              <w:t>：</w:t>
            </w:r>
            <w:r>
              <w:rPr>
                <w:rFonts w:hint="eastAsia"/>
              </w:rPr>
              <w:t>德国《时代》周刊</w:t>
            </w:r>
            <w:r>
              <w:rPr>
                <w:rFonts w:hint="eastAsia"/>
                <w:lang w:val="en-US"/>
              </w:rPr>
              <w:t>：</w:t>
            </w:r>
            <w:r>
              <w:fldChar w:fldCharType="begin"/>
            </w:r>
            <w:r>
              <w:rPr>
                <w:lang w:val="en-US"/>
              </w:rPr>
              <w:instrText xml:space="preserve"> HYPERLINK "http://www.zeit.de/" \t "_blank" </w:instrText>
            </w:r>
            <w:r>
              <w:fldChar w:fldCharType="separate"/>
            </w:r>
            <w:r>
              <w:rPr>
                <w:rStyle w:val="7"/>
                <w:color w:val="333333"/>
                <w:sz w:val="20"/>
                <w:szCs w:val="20"/>
                <w:lang w:val="en-US"/>
              </w:rPr>
              <w:t>http://www.zeit.de/</w:t>
            </w:r>
            <w:r>
              <w:rPr>
                <w:rStyle w:val="7"/>
                <w:color w:val="333333"/>
                <w:sz w:val="20"/>
                <w:szCs w:val="20"/>
              </w:rPr>
              <w:fldChar w:fldCharType="end"/>
            </w:r>
          </w:p>
          <w:p>
            <w:pPr>
              <w:rPr>
                <w:lang w:val="en-US"/>
              </w:rPr>
            </w:pPr>
            <w:r>
              <w:rPr>
                <w:rStyle w:val="11"/>
                <w:rFonts w:hint="eastAsia" w:ascii="Arial" w:hAnsi="Arial"/>
                <w:color w:val="666666"/>
              </w:rPr>
              <w:t>德国《南德意志报》</w:t>
            </w:r>
            <w:r>
              <w:rPr>
                <w:rStyle w:val="11"/>
                <w:rFonts w:hint="eastAsia" w:ascii="Arial" w:hAnsi="Arial"/>
                <w:color w:val="666666"/>
                <w:lang w:val="en-US"/>
              </w:rPr>
              <w:t>：</w:t>
            </w:r>
            <w:r>
              <w:rPr>
                <w:rStyle w:val="11"/>
                <w:rFonts w:ascii="Arial" w:hAnsi="Arial"/>
                <w:color w:val="666666"/>
                <w:sz w:val="18"/>
                <w:szCs w:val="18"/>
                <w:lang w:val="en-US"/>
              </w:rPr>
              <w:t> </w:t>
            </w:r>
            <w:r>
              <w:rPr>
                <w:color w:val="006D21"/>
                <w:szCs w:val="21"/>
                <w:shd w:val="clear" w:color="auto" w:fill="FFFFFF"/>
                <w:lang w:val="en-US"/>
              </w:rPr>
              <w:t>https://</w:t>
            </w:r>
            <w:r>
              <w:rPr>
                <w:rStyle w:val="6"/>
                <w:color w:val="006D21"/>
                <w:szCs w:val="21"/>
                <w:lang w:val="en-US"/>
              </w:rPr>
              <w:t>zeitung</w:t>
            </w:r>
            <w:r>
              <w:rPr>
                <w:color w:val="006D21"/>
                <w:szCs w:val="21"/>
                <w:shd w:val="clear" w:color="auto" w:fill="FFFFFF"/>
                <w:lang w:val="en-US"/>
              </w:rPr>
              <w:t>.</w:t>
            </w:r>
            <w:r>
              <w:rPr>
                <w:rStyle w:val="6"/>
                <w:color w:val="006D21"/>
                <w:szCs w:val="21"/>
                <w:lang w:val="en-US"/>
              </w:rPr>
              <w:t>sueddeutsche</w:t>
            </w:r>
            <w:r>
              <w:rPr>
                <w:color w:val="006D21"/>
                <w:szCs w:val="21"/>
                <w:shd w:val="clear" w:color="auto" w:fill="FFFFFF"/>
                <w:lang w:val="en-US"/>
              </w:rPr>
              <w:t>.de</w:t>
            </w:r>
          </w:p>
          <w:p>
            <w:pPr>
              <w:rPr>
                <w:lang w:val="en-US"/>
              </w:rPr>
            </w:pPr>
            <w:r>
              <w:rPr>
                <w:rFonts w:hint="eastAsia"/>
              </w:rPr>
              <w:t>德国《法兰克福汇报》</w:t>
            </w:r>
            <w:r>
              <w:rPr>
                <w:lang w:val="en-US"/>
              </w:rPr>
              <w:t>http://www.faz.net/</w:t>
            </w:r>
          </w:p>
          <w:p>
            <w:pPr>
              <w:rPr>
                <w:lang w:val="en-US"/>
              </w:rPr>
            </w:pPr>
            <w:r>
              <w:rPr>
                <w:rFonts w:hint="eastAsia"/>
              </w:rPr>
              <w:t>德国《世界报》</w:t>
            </w:r>
            <w:r>
              <w:rPr>
                <w:rFonts w:hint="eastAsia"/>
                <w:lang w:val="en-US"/>
              </w:rPr>
              <w:t>：</w:t>
            </w:r>
            <w:r>
              <w:rPr>
                <w:u w:val="single"/>
                <w:lang w:val="en-US"/>
              </w:rPr>
              <w:t>http://www.welt.de</w:t>
            </w:r>
          </w:p>
          <w:p>
            <w:pPr>
              <w:rPr>
                <w:lang w:val="en-US"/>
              </w:rPr>
            </w:pPr>
            <w:r>
              <w:t>德国《明镜》周刊网络版</w:t>
            </w:r>
            <w:r>
              <w:rPr>
                <w:lang w:val="en-US"/>
              </w:rPr>
              <w:t>，</w:t>
            </w:r>
            <w:r>
              <w:t>网址</w:t>
            </w:r>
            <w:r>
              <w:rPr>
                <w:lang w:val="en-US"/>
              </w:rPr>
              <w:t>：</w:t>
            </w:r>
            <w:r>
              <w:rPr>
                <w:u w:val="single"/>
                <w:lang w:val="en-US"/>
              </w:rPr>
              <w:t>http://www.spiegel.de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szCs w:val="21"/>
              </w:rPr>
              <w:t>德语文学作品电子文本</w:t>
            </w:r>
            <w:r>
              <w:rPr>
                <w:szCs w:val="21"/>
                <w:lang w:val="en-US"/>
              </w:rPr>
              <w:t>（</w:t>
            </w:r>
            <w:r>
              <w:rPr>
                <w:szCs w:val="21"/>
              </w:rPr>
              <w:t>古登堡项目</w:t>
            </w:r>
            <w:r>
              <w:rPr>
                <w:szCs w:val="21"/>
                <w:lang w:val="en-US"/>
              </w:rPr>
              <w:t>），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http://gutenberg.spiegel.de</w:t>
            </w:r>
            <w:r>
              <w:rPr>
                <w:szCs w:val="21"/>
                <w:lang w:val="en-US"/>
              </w:rPr>
              <w:br w:type="textWrapping"/>
            </w:r>
            <w:r>
              <w:rPr>
                <w:szCs w:val="21"/>
              </w:rPr>
              <w:t>《北京周报》德文版</w:t>
            </w:r>
            <w:r>
              <w:rPr>
                <w:szCs w:val="21"/>
                <w:lang w:val="en-US"/>
              </w:rPr>
              <w:t>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http://german.beijingreview.com.cn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szCs w:val="21"/>
              </w:rPr>
              <w:t>国家重点新闻网站</w:t>
            </w:r>
            <w:r>
              <w:rPr>
                <w:szCs w:val="21"/>
                <w:lang w:val="en-US"/>
              </w:rPr>
              <w:t>“</w:t>
            </w:r>
            <w:r>
              <w:rPr>
                <w:szCs w:val="21"/>
              </w:rPr>
              <w:t>中国网</w:t>
            </w:r>
            <w:r>
              <w:rPr>
                <w:szCs w:val="21"/>
                <w:lang w:val="en-US"/>
              </w:rPr>
              <w:t>”</w:t>
            </w:r>
            <w:r>
              <w:rPr>
                <w:szCs w:val="21"/>
              </w:rPr>
              <w:t>德文版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http://german.china.org.cn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szCs w:val="21"/>
              </w:rPr>
              <w:t>《今日中国》德文版</w:t>
            </w:r>
            <w:r>
              <w:rPr>
                <w:rFonts w:hint="eastAsia"/>
                <w:szCs w:val="21"/>
                <w:lang w:val="en-US"/>
              </w:rPr>
              <w:t>，</w:t>
            </w:r>
            <w:r>
              <w:rPr>
                <w:rFonts w:hint="eastAsia"/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http://german.chinatoday.com.cn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szCs w:val="21"/>
              </w:rPr>
              <w:t>德国第二电视台在线电视节目</w:t>
            </w:r>
            <w:r>
              <w:rPr>
                <w:szCs w:val="21"/>
                <w:lang w:val="en-US"/>
              </w:rPr>
              <w:t>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http://www.zdf.de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szCs w:val="21"/>
                <w:lang w:val="en-US"/>
              </w:rPr>
              <w:t xml:space="preserve"> </w:t>
            </w:r>
            <w:r>
              <w:rPr>
                <w:szCs w:val="21"/>
              </w:rPr>
              <w:t>德国广播电台新闻节目</w:t>
            </w:r>
            <w:r>
              <w:rPr>
                <w:szCs w:val="21"/>
                <w:lang w:val="en-US"/>
              </w:rPr>
              <w:t>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http://www.deutschlandfunk.de</w:t>
            </w:r>
          </w:p>
          <w:p>
            <w:pPr>
              <w:rPr>
                <w:szCs w:val="21"/>
                <w:u w:val="single"/>
                <w:lang w:val="en-US"/>
              </w:rPr>
            </w:pPr>
            <w:r>
              <w:rPr>
                <w:szCs w:val="21"/>
              </w:rPr>
              <w:t>德国之声广播电台新闻和德语学习节目</w:t>
            </w:r>
            <w:r>
              <w:rPr>
                <w:szCs w:val="21"/>
                <w:lang w:val="en-US"/>
              </w:rPr>
              <w:t>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http://www.dw.de</w:t>
            </w:r>
          </w:p>
          <w:p>
            <w:pPr>
              <w:rPr>
                <w:szCs w:val="21"/>
                <w:lang w:val="en-US"/>
              </w:rPr>
            </w:pPr>
            <w:r>
              <w:rPr>
                <w:szCs w:val="21"/>
              </w:rPr>
              <w:t>中国国际广播电台德语节目</w:t>
            </w:r>
            <w:r>
              <w:rPr>
                <w:szCs w:val="21"/>
                <w:lang w:val="en-US"/>
              </w:rPr>
              <w:t>，</w:t>
            </w:r>
            <w:r>
              <w:rPr>
                <w:szCs w:val="21"/>
              </w:rPr>
              <w:t>网址</w:t>
            </w:r>
            <w:r>
              <w:rPr>
                <w:szCs w:val="21"/>
                <w:lang w:val="en-US"/>
              </w:rPr>
              <w:t>：</w:t>
            </w:r>
            <w:r>
              <w:rPr>
                <w:szCs w:val="21"/>
                <w:u w:val="single"/>
                <w:lang w:val="en-US"/>
              </w:rPr>
              <w:t>http://german.cri.cn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szCs w:val="21"/>
              </w:rPr>
              <w:t>Die genauen Informationen lassen sich den Handouts zu den jeweiligen Veranstaltungen entnehmen. Den Studenten wurden in der Regel Quellen im Internet genannt, die für sie praktisch und nützlich sind.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8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黑体" w:hAnsi="宋体" w:eastAsia="黑体" w:cs="Times New Roman"/>
                <w:color w:val="000000"/>
                <w:szCs w:val="21"/>
                <w:lang w:val="en-US"/>
              </w:rPr>
              <w:t>大纲编制人及责任人信息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丰卫平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余传玲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李大雪</w:t>
            </w:r>
            <w:bookmarkStart w:id="0" w:name="_GoBack"/>
            <w:bookmarkEnd w:id="0"/>
          </w:p>
        </w:tc>
      </w:tr>
    </w:tbl>
    <w:p>
      <w:pPr>
        <w:snapToGrid w:val="0"/>
        <w:spacing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二、课程目标与任务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阅读和阅读教学是对话过程； 阅读过程中应以学生为主体;重视阅读过程和阅读方法;</w:t>
      </w:r>
      <w:r>
        <w:rPr>
          <w:sz w:val="24"/>
        </w:rPr>
        <w:t xml:space="preserve"> 重视知识在阅读中的实际运用。课标有明确的指导思想，学习知识是为了运用。应打破过去脱离阅读实践、片面追求学科知识系统传授的思路，努力创造条件，促成学生把与阅读有关的知识转化为真正有用的实际阅读能力。课程标准的一个重要思想，就是不能把知识作为“知识点”，作为学习的终结目标去学习，而是为了运用去学习。</w:t>
      </w:r>
      <w:r>
        <w:rPr>
          <w:rFonts w:hint="eastAsia"/>
          <w:sz w:val="24"/>
        </w:rPr>
        <w:t>课程思政的具体内容根据国际国内时事融入具体的学生讨论环节,</w:t>
      </w:r>
      <w:r>
        <w:rPr>
          <w:sz w:val="24"/>
        </w:rPr>
        <w:t xml:space="preserve"> </w:t>
      </w:r>
      <w:r>
        <w:rPr>
          <w:rFonts w:hint="eastAsia"/>
          <w:sz w:val="24"/>
        </w:rPr>
        <w:t>促使学生关注国内国际时事，学习并掌握用目的语提高中国在世界上的话语能力，以此</w:t>
      </w:r>
      <w:r>
        <w:rPr>
          <w:rFonts w:hint="eastAsia" w:cs="Times New Roman" w:asciiTheme="minorEastAsia" w:hAnsiTheme="minorEastAsia"/>
          <w:sz w:val="24"/>
          <w:szCs w:val="24"/>
        </w:rPr>
        <w:t>激发和培养学生的民族自豪感和文化自信，增强学生的使命感和荣誉感。具体</w:t>
      </w:r>
      <w:r>
        <w:rPr>
          <w:rFonts w:hint="eastAsia"/>
          <w:sz w:val="24"/>
        </w:rPr>
        <w:t>要求如下：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掌握阅读技巧，理解语篇的内容及细节。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学习并掌握批判性地处理语篇的能力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学习并掌握各种语境下的语言应对能力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能表达自己的观点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 能解释并回答各种各样的问题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 针对有争议的问题能表达论点并论证论点</w:t>
      </w:r>
    </w:p>
    <w:p>
      <w:pPr>
        <w:spacing w:line="360" w:lineRule="auto"/>
        <w:ind w:firstLine="420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三、课程主要内容、要求及学时分配</w:t>
      </w:r>
    </w:p>
    <w:tbl>
      <w:tblPr>
        <w:tblStyle w:val="4"/>
        <w:tblW w:w="90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734"/>
        <w:gridCol w:w="2466"/>
        <w:gridCol w:w="1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序号</w:t>
            </w:r>
          </w:p>
        </w:tc>
        <w:tc>
          <w:tcPr>
            <w:tcW w:w="4734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主要内容</w:t>
            </w:r>
          </w:p>
        </w:tc>
        <w:tc>
          <w:tcPr>
            <w:tcW w:w="2466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基本要求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</w:t>
            </w:r>
          </w:p>
        </w:tc>
        <w:tc>
          <w:tcPr>
            <w:tcW w:w="4734" w:type="dxa"/>
            <w:vAlign w:val="center"/>
          </w:tcPr>
          <w:p>
            <w:r>
              <w:t>1. Semesterplan und Lehrinhalt</w:t>
            </w:r>
          </w:p>
          <w:p>
            <w:r>
              <w:rPr>
                <w:rFonts w:hint="eastAsia"/>
              </w:rPr>
              <w:t xml:space="preserve">2. </w:t>
            </w:r>
            <w:r>
              <w:t>Leseübung am Beispiel des Textes „Fremdsprachenlehren und -lernen“</w:t>
            </w:r>
          </w:p>
          <w:p>
            <w:r>
              <w:t>3. Text zum Thema Unterrichtsgestaltung</w:t>
            </w:r>
          </w:p>
          <w:p>
            <w:pPr>
              <w:rPr>
                <w:rFonts w:ascii="宋体" w:hAnsi="宋体"/>
                <w:szCs w:val="21"/>
              </w:rPr>
            </w:pPr>
            <w:r>
              <w:t>4. Checkliste „guter“ Unterricht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2466" w:type="dxa"/>
            <w:vAlign w:val="center"/>
          </w:tcPr>
          <w:p>
            <w:pPr>
              <w:tabs>
                <w:tab w:val="left" w:pos="5370"/>
              </w:tabs>
            </w:pPr>
            <w:r>
              <w:rPr>
                <w:bCs/>
              </w:rPr>
              <w:t xml:space="preserve">am </w:t>
            </w:r>
            <w:r>
              <w:rPr>
                <w:rFonts w:hint="eastAsia"/>
                <w:bCs/>
              </w:rPr>
              <w:t xml:space="preserve">Beispiel eines Lesetextes die Lesetechnik und </w:t>
            </w:r>
            <w:r>
              <w:rPr>
                <w:bCs/>
              </w:rPr>
              <w:t>–</w:t>
            </w:r>
            <w:r>
              <w:rPr>
                <w:rFonts w:hint="eastAsia"/>
                <w:bCs/>
              </w:rPr>
              <w:t xml:space="preserve">stragegie </w:t>
            </w:r>
            <w:r>
              <w:rPr>
                <w:bCs/>
              </w:rPr>
              <w:t>lernen und erlernen, um die schwierige Texte zu verstehen</w:t>
            </w:r>
            <w:r>
              <w:t xml:space="preserve"> 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2</w:t>
            </w:r>
          </w:p>
        </w:tc>
        <w:tc>
          <w:tcPr>
            <w:tcW w:w="4734" w:type="dxa"/>
            <w:vAlign w:val="center"/>
          </w:tcPr>
          <w:p>
            <w:r>
              <w:t>1. Themenwahl und Semesterplan</w:t>
            </w:r>
          </w:p>
          <w:p>
            <w:r>
              <w:rPr>
                <w:rFonts w:hint="eastAsia"/>
              </w:rPr>
              <w:t xml:space="preserve">2. </w:t>
            </w:r>
            <w:r>
              <w:t>Kommunikation im universitären Kontext</w:t>
            </w:r>
          </w:p>
          <w:p>
            <w:r>
              <w:t>2.1</w:t>
            </w:r>
            <w:r>
              <w:rPr>
                <w:rFonts w:hint="eastAsia"/>
              </w:rPr>
              <w:t>.</w:t>
            </w:r>
            <w:r>
              <w:t xml:space="preserve"> Telefonisch nachfragen</w:t>
            </w:r>
          </w:p>
          <w:p>
            <w:pPr>
              <w:tabs>
                <w:tab w:val="left" w:pos="5370"/>
              </w:tabs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/>
              </w:rPr>
              <w:t xml:space="preserve">2.2. </w:t>
            </w:r>
            <w:r>
              <w:t>Über das Heimatland informieren</w:t>
            </w:r>
          </w:p>
        </w:tc>
        <w:tc>
          <w:tcPr>
            <w:tcW w:w="2466" w:type="dxa"/>
            <w:vAlign w:val="center"/>
          </w:tcPr>
          <w:p>
            <w:r>
              <w:rPr>
                <w:bCs/>
              </w:rPr>
              <w:t>Sich auf die Themen in diesem Semester vorzubereiten</w:t>
            </w:r>
            <w:r>
              <w:rPr>
                <w:rFonts w:hint="eastAsia"/>
                <w:bCs/>
              </w:rPr>
              <w:t>；d</w:t>
            </w:r>
            <w:r>
              <w:rPr>
                <w:bCs/>
              </w:rPr>
              <w:t>ie Studenten befähigen, sprachlich im universitären Kontext zu reagieren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3</w:t>
            </w:r>
          </w:p>
        </w:tc>
        <w:tc>
          <w:tcPr>
            <w:tcW w:w="4734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t>Kommunikation im universitären Kontext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t>Eine Abbildung beschreiben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</w:pPr>
            <w:r>
              <w:t>Eigene Meinung begründen</w:t>
            </w:r>
          </w:p>
          <w:p>
            <w:pPr>
              <w:ind w:firstLine="840" w:firstLineChars="400"/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Die Studenten befähigen, eine Abbildung zu beschreiben oder erklären; im universitären Kontext eigene Meinung äußern und begründen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4</w:t>
            </w:r>
          </w:p>
        </w:tc>
        <w:tc>
          <w:tcPr>
            <w:tcW w:w="4734" w:type="dxa"/>
            <w:vAlign w:val="center"/>
          </w:tcPr>
          <w:p>
            <w:r>
              <w:rPr>
                <w:rFonts w:hint="eastAsia"/>
              </w:rPr>
              <w:t>1.</w:t>
            </w:r>
            <w:r>
              <w:t xml:space="preserve"> Beobachtungen und Erfahrungen</w:t>
            </w:r>
          </w:p>
          <w:p>
            <w:r>
              <w:rPr>
                <w:rFonts w:hint="eastAsia"/>
              </w:rPr>
              <w:t>2.</w:t>
            </w:r>
            <w:r>
              <w:t xml:space="preserve"> Eine Entscheidung treffen und begründen</w:t>
            </w:r>
          </w:p>
          <w:p>
            <w:pPr>
              <w:rPr>
                <w:rFonts w:ascii="宋体" w:hAnsi="宋体"/>
                <w:szCs w:val="21"/>
              </w:rPr>
            </w:pPr>
            <w:r>
              <w:t>3. Eine Abbildung erklären</w:t>
            </w:r>
          </w:p>
          <w:p>
            <w:pPr>
              <w:ind w:firstLine="840" w:firstLineChars="4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2466" w:type="dxa"/>
            <w:vAlign w:val="center"/>
          </w:tcPr>
          <w:p>
            <w:r>
              <w:rPr>
                <w:bCs/>
              </w:rPr>
              <w:t>Lesen und diskutieren, damit die Studenten erkennen, dass man im Fremdsprachenunterrricht sprachlich handeln muss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5</w:t>
            </w:r>
          </w:p>
        </w:tc>
        <w:tc>
          <w:tcPr>
            <w:tcW w:w="4734" w:type="dxa"/>
            <w:vAlign w:val="center"/>
          </w:tcPr>
          <w:p>
            <w:r>
              <w:t>1. Partnergespräch: Vier Seiten einer Botschaft</w:t>
            </w:r>
          </w:p>
          <w:p>
            <w:r>
              <w:rPr>
                <w:rFonts w:hint="eastAsia"/>
              </w:rPr>
              <w:t xml:space="preserve">2. </w:t>
            </w:r>
            <w:r>
              <w:t>Plenum: Klärung der vier Seiten</w:t>
            </w:r>
          </w:p>
          <w:p>
            <w:r>
              <w:rPr>
                <w:rFonts w:hint="eastAsia"/>
              </w:rPr>
              <w:t xml:space="preserve">3. </w:t>
            </w:r>
            <w:r>
              <w:t>Partnergespräch: Kongruenz</w:t>
            </w:r>
            <w:r>
              <w:rPr>
                <w:rFonts w:hint="eastAsia"/>
              </w:rPr>
              <w:t xml:space="preserve"> </w:t>
            </w:r>
          </w:p>
          <w:p>
            <w:r>
              <w:rPr>
                <w:rFonts w:hint="eastAsia"/>
              </w:rPr>
              <w:t xml:space="preserve">4. </w:t>
            </w:r>
            <w:r>
              <w:t>Plenum: Klärung Kongruenz</w:t>
            </w:r>
          </w:p>
          <w:p>
            <w:r>
              <w:rPr>
                <w:rFonts w:hint="eastAsia"/>
              </w:rPr>
              <w:t xml:space="preserve">5. </w:t>
            </w:r>
            <w:r>
              <w:t>Gruppenarbeit: Analyse von Äußerungen</w:t>
            </w:r>
          </w:p>
          <w:p>
            <w:r>
              <w:rPr>
                <w:rFonts w:hint="eastAsia"/>
              </w:rPr>
              <w:t xml:space="preserve">6. </w:t>
            </w:r>
            <w:r>
              <w:t>Gruppenarbeit: kleine Dialoge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/>
              </w:rPr>
              <w:t xml:space="preserve">7. </w:t>
            </w:r>
            <w:r>
              <w:t>Plenum: Dialoge vorführen, Analyse im Plenum</w:t>
            </w:r>
          </w:p>
        </w:tc>
        <w:tc>
          <w:tcPr>
            <w:tcW w:w="2466" w:type="dxa"/>
            <w:vAlign w:val="center"/>
          </w:tcPr>
          <w:p>
            <w:r>
              <w:rPr>
                <w:bCs/>
              </w:rPr>
              <w:t>Die Studenten befähigen, eigene Meinungen äußern  und die Sprechpartner überzeugen, besonders wenn Meinungsverschiedenheiten existieren.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6</w:t>
            </w:r>
          </w:p>
        </w:tc>
        <w:tc>
          <w:tcPr>
            <w:tcW w:w="4734" w:type="dxa"/>
            <w:vAlign w:val="center"/>
          </w:tcPr>
          <w:p>
            <w:r>
              <w:t>1. Unterrichtsgespräch: Metakommunikation: Die Theorie</w:t>
            </w:r>
          </w:p>
          <w:p>
            <w:r>
              <w:t>2. Gruppenarbeit: Übung: Metakommunikation mit Musterdialog oder Dialog aus eigener Erfahrung</w:t>
            </w:r>
          </w:p>
          <w:p>
            <w:r>
              <w:t>3. Unterrichtsgespräch: Das innere Team</w:t>
            </w:r>
          </w:p>
          <w:p>
            <w:r>
              <w:t xml:space="preserve">4. Gruppenarbeit: Konfliktsituation </w:t>
            </w:r>
            <w:r>
              <w:rPr/>
              <w:sym w:font="Wingdings" w:char="F0E0"/>
            </w:r>
            <w:r>
              <w:t xml:space="preserve"> Arbeit / Lösung mit dem inneren Team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5. Plenumsgespräch: Konfliktsituationen und das innere Team</w:t>
            </w:r>
          </w:p>
        </w:tc>
        <w:tc>
          <w:tcPr>
            <w:tcW w:w="2466" w:type="dxa"/>
            <w:vAlign w:val="center"/>
          </w:tcPr>
          <w:p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ie</w:t>
            </w:r>
            <w:r>
              <w:rPr>
                <w:bCs/>
              </w:rPr>
              <w:t xml:space="preserve"> Studenten lernen und erlernen die Hilfsmittel bei der Kommunikation, um den Konflikt im Gespräch zu bewältigen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7</w:t>
            </w:r>
          </w:p>
        </w:tc>
        <w:tc>
          <w:tcPr>
            <w:tcW w:w="4734" w:type="dxa"/>
            <w:vAlign w:val="center"/>
          </w:tcPr>
          <w:p>
            <w:r>
              <w:t>Plenum: Videofolgen: Karrieretrainer1-6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Beispiel: Stellenangebot lesen</w:t>
            </w:r>
          </w:p>
        </w:tc>
        <w:tc>
          <w:tcPr>
            <w:tcW w:w="2466" w:type="dxa"/>
            <w:vAlign w:val="center"/>
          </w:tcPr>
          <w:p>
            <w:r>
              <w:rPr>
                <w:rFonts w:hint="eastAsia"/>
              </w:rPr>
              <w:t>Bewerbungsvorausse</w:t>
            </w:r>
            <w:r>
              <w:t>tzung und Bewerbungsfähigkeiten kennen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8</w:t>
            </w:r>
          </w:p>
        </w:tc>
        <w:tc>
          <w:tcPr>
            <w:tcW w:w="4734" w:type="dxa"/>
            <w:vAlign w:val="center"/>
          </w:tcPr>
          <w:p>
            <w:r>
              <w:t>1. Bewerbungsgespräch</w:t>
            </w:r>
          </w:p>
          <w:p>
            <w:r>
              <w:t>2. Partnerarbeit / Plenum: Sammeln von möglichen zukünftigen Tätigkeitsfeldern</w:t>
            </w:r>
          </w:p>
          <w:p>
            <w:r>
              <w:t>3. Gruppenarbeit / Plenum: Beschreibung dieser Tätigkeitsfelder</w:t>
            </w:r>
          </w:p>
          <w:p>
            <w:r>
              <w:t>4. Gruppenarbeit / Plenum: Erwartungen der Arbeitgeber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5. Gruppengespräch / Plenum: Erfahrungen aus Bewerbungsgesprächen</w:t>
            </w:r>
          </w:p>
        </w:tc>
        <w:tc>
          <w:tcPr>
            <w:tcW w:w="2466" w:type="dxa"/>
            <w:vAlign w:val="center"/>
          </w:tcPr>
          <w:p>
            <w:r>
              <w:rPr>
                <w:rFonts w:hint="eastAsia"/>
                <w:szCs w:val="21"/>
              </w:rPr>
              <w:t>W</w:t>
            </w:r>
            <w:r>
              <w:rPr>
                <w:szCs w:val="21"/>
              </w:rPr>
              <w:t>ortschatz und Redemittel im Bewerbungsgespräch lernen und erlernen</w:t>
            </w:r>
            <w:r>
              <w:rPr>
                <w:rFonts w:hint="eastAsia"/>
                <w:b/>
                <w:szCs w:val="21"/>
              </w:rPr>
              <w:t>（1）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9</w:t>
            </w:r>
          </w:p>
        </w:tc>
        <w:tc>
          <w:tcPr>
            <w:tcW w:w="4734" w:type="dxa"/>
            <w:vAlign w:val="center"/>
          </w:tcPr>
          <w:p>
            <w:r>
              <w:t>1. Interview vorbereiten</w:t>
            </w:r>
          </w:p>
          <w:p>
            <w:r>
              <w:t>2. Interviews durchführen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/>
              </w:rPr>
              <w:t xml:space="preserve">3. </w:t>
            </w:r>
            <w:r>
              <w:t>Entscheidungen für Bewerber und Begründungen</w:t>
            </w:r>
          </w:p>
        </w:tc>
        <w:tc>
          <w:tcPr>
            <w:tcW w:w="2466" w:type="dxa"/>
            <w:vAlign w:val="center"/>
          </w:tcPr>
          <w:p>
            <w:r>
              <w:rPr>
                <w:rFonts w:hint="eastAsia"/>
                <w:szCs w:val="21"/>
              </w:rPr>
              <w:t>W</w:t>
            </w:r>
            <w:r>
              <w:rPr>
                <w:szCs w:val="21"/>
              </w:rPr>
              <w:t>ortschatz und Redemittel im Bewerbungsgespräch lernen und erlernen</w:t>
            </w:r>
            <w:r>
              <w:rPr>
                <w:rFonts w:hint="eastAsia"/>
                <w:b/>
                <w:szCs w:val="21"/>
              </w:rPr>
              <w:t xml:space="preserve"> (2)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10</w:t>
            </w:r>
          </w:p>
        </w:tc>
        <w:tc>
          <w:tcPr>
            <w:tcW w:w="4734" w:type="dxa"/>
            <w:vAlign w:val="center"/>
          </w:tcPr>
          <w:p>
            <w:r>
              <w:t xml:space="preserve">1.Industriegesellschaft 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Informationsposter</w:t>
            </w:r>
          </w:p>
        </w:tc>
        <w:tc>
          <w:tcPr>
            <w:tcW w:w="2466" w:type="dxa"/>
            <w:vAlign w:val="center"/>
          </w:tcPr>
          <w:p>
            <w:r>
              <w:rPr>
                <w:rFonts w:hint="eastAsia"/>
              </w:rPr>
              <w:t xml:space="preserve">Die Studenten sollen sich über </w:t>
            </w:r>
            <w:r>
              <w:t>das Thema</w:t>
            </w:r>
            <w:r>
              <w:rPr>
                <w:rFonts w:hint="eastAsia"/>
              </w:rPr>
              <w:t xml:space="preserve"> informieren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11</w:t>
            </w:r>
          </w:p>
        </w:tc>
        <w:tc>
          <w:tcPr>
            <w:tcW w:w="4734" w:type="dxa"/>
            <w:vAlign w:val="center"/>
          </w:tcPr>
          <w:p>
            <w:r>
              <w:t>1. Eine Gruppe von Studenten  führt den Unterricht durch, das Thema des Unterrichts ist:</w:t>
            </w:r>
            <w:r>
              <w:rPr>
                <w:rFonts w:hint="eastAsia"/>
              </w:rPr>
              <w:t xml:space="preserve"> </w:t>
            </w:r>
            <w:r>
              <w:t>Abnehmen</w:t>
            </w:r>
            <w:r>
              <w:rPr>
                <w:rFonts w:eastAsia="Times New Roman"/>
                <w:szCs w:val="21"/>
                <w:lang w:eastAsia="de-DE"/>
              </w:rPr>
              <w:t>(oder ein anderes Thema)</w:t>
            </w:r>
            <w:r>
              <w:t>.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szCs w:val="21"/>
              </w:rPr>
              <w:t>（1）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12</w:t>
            </w:r>
          </w:p>
        </w:tc>
        <w:tc>
          <w:tcPr>
            <w:tcW w:w="4734" w:type="dxa"/>
            <w:vAlign w:val="center"/>
          </w:tcPr>
          <w:p>
            <w:r>
              <w:t>1. Eine Gruppe von Studenten  führt den Unterricht durch, das Thema des Unterrichts ist:</w:t>
            </w:r>
            <w:r>
              <w:rPr>
                <w:rFonts w:hint="eastAsia"/>
              </w:rPr>
              <w:t xml:space="preserve"> </w:t>
            </w:r>
            <w:r>
              <w:t>Nahrungsmittel in China</w:t>
            </w:r>
            <w:r>
              <w:rPr>
                <w:rFonts w:eastAsia="Times New Roman"/>
                <w:szCs w:val="21"/>
                <w:lang w:eastAsia="de-DE"/>
              </w:rPr>
              <w:t>(oder ein anderes Thema)</w:t>
            </w:r>
            <w:r>
              <w:rPr>
                <w:b/>
              </w:rPr>
              <w:t>.</w:t>
            </w:r>
            <w:r>
              <w:t xml:space="preserve">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b/>
                <w:szCs w:val="21"/>
              </w:rPr>
              <w:t>（2）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13</w:t>
            </w:r>
          </w:p>
        </w:tc>
        <w:tc>
          <w:tcPr>
            <w:tcW w:w="4734" w:type="dxa"/>
            <w:vAlign w:val="center"/>
          </w:tcPr>
          <w:p>
            <w:r>
              <w:t>1. Eine Gruppe von Studenten  führt den Unterricht durch, das Thema des Unterrichts ist:</w:t>
            </w:r>
            <w:r>
              <w:rPr>
                <w:rFonts w:hint="eastAsia"/>
              </w:rPr>
              <w:t xml:space="preserve"> </w:t>
            </w:r>
            <w:r>
              <w:t>Liebe</w:t>
            </w:r>
            <w:r>
              <w:rPr>
                <w:rFonts w:eastAsia="Times New Roman"/>
                <w:szCs w:val="21"/>
                <w:lang w:eastAsia="de-DE"/>
              </w:rPr>
              <w:t>(oder ein anderes Thema)</w:t>
            </w:r>
            <w:r>
              <w:t>.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b/>
                <w:szCs w:val="21"/>
              </w:rPr>
              <w:t>（3）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14</w:t>
            </w:r>
          </w:p>
        </w:tc>
        <w:tc>
          <w:tcPr>
            <w:tcW w:w="4734" w:type="dxa"/>
            <w:vAlign w:val="center"/>
          </w:tcPr>
          <w:p>
            <w:r>
              <w:t xml:space="preserve">1. Eine Gruppe von Studenten  führt den Unterricht durch, das Thema des Unterrichts ist: </w:t>
            </w:r>
            <w:r>
              <w:rPr>
                <w:b/>
              </w:rPr>
              <w:t>Jugend in Deutschland und China.</w:t>
            </w:r>
            <w:r>
              <w:t xml:space="preserve">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b/>
                <w:szCs w:val="21"/>
              </w:rPr>
              <w:t>（4）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15</w:t>
            </w:r>
          </w:p>
        </w:tc>
        <w:tc>
          <w:tcPr>
            <w:tcW w:w="4734" w:type="dxa"/>
            <w:vAlign w:val="center"/>
          </w:tcPr>
          <w:p>
            <w:r>
              <w:t>1. Eine Gruppe von Studenten  führt den Unterricht durch, das Thema des Unterrichts ist: Privatsphäre und Öffentlichkeit.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b/>
                <w:szCs w:val="21"/>
              </w:rPr>
              <w:t>（5）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16</w:t>
            </w:r>
          </w:p>
        </w:tc>
        <w:tc>
          <w:tcPr>
            <w:tcW w:w="4734" w:type="dxa"/>
            <w:vAlign w:val="center"/>
          </w:tcPr>
          <w:p>
            <w:r>
              <w:t xml:space="preserve">1. Eine Gruppe von Studenten  führt den Unterricht durch, das Thema des Unterrichts ist: </w:t>
            </w:r>
            <w:r>
              <w:rPr>
                <w:b/>
              </w:rPr>
              <w:t>Bildung und Erziehung.</w:t>
            </w:r>
            <w:r>
              <w:t xml:space="preserve"> Der allgemeine Verlauf des Unterrichts ist bei einem Treffen vorher mit den Studenten besprochen worden.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t>2. Anschließend wird der Unterricht der Studenten durch die anderen Studenten und den Lehrer evaluiert und es wird auf Probleme hingewiesen und Verbesserungsvorschläge werden gemacht.</w:t>
            </w:r>
          </w:p>
        </w:tc>
        <w:tc>
          <w:tcPr>
            <w:tcW w:w="2466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 xml:space="preserve">ie </w:t>
            </w:r>
            <w:r>
              <w:rPr>
                <w:szCs w:val="21"/>
              </w:rPr>
              <w:t>Informationen über das Thema recherchieren und mit eigenen Worten darüber berichten, danach die ganze Klasse anzuregen, über das Thema zu diskutiere</w:t>
            </w: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>6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</w:tbl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备注：教学周为16周，另有一周为实践周，共17周。</w:t>
      </w:r>
    </w:p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四、主要教学方法与手段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000000"/>
          <w:szCs w:val="24"/>
          <w:lang w:val="en-US"/>
        </w:rPr>
      </w:pPr>
      <w:r>
        <w:rPr>
          <w:rFonts w:hint="eastAsia" w:ascii="Times New Roman" w:hAnsi="Times New Roman" w:eastAsia="宋体" w:cs="Times New Roman"/>
          <w:bCs/>
          <w:color w:val="000000"/>
          <w:szCs w:val="24"/>
          <w:lang w:val="en-US"/>
        </w:rPr>
        <w:t>自主式/</w:t>
      </w:r>
      <w:r>
        <w:rPr>
          <w:rFonts w:ascii="Times New Roman" w:hAnsi="Times New Roman" w:eastAsia="宋体" w:cs="Times New Roman"/>
          <w:bCs/>
          <w:color w:val="000000"/>
          <w:szCs w:val="24"/>
          <w:lang w:val="en-US"/>
        </w:rPr>
        <w:t>启发式/研讨式</w:t>
      </w:r>
      <w:r>
        <w:rPr>
          <w:rFonts w:hint="eastAsia" w:ascii="Times New Roman" w:hAnsi="Times New Roman" w:eastAsia="宋体" w:cs="Times New Roman"/>
          <w:bCs/>
          <w:color w:val="000000"/>
          <w:szCs w:val="24"/>
          <w:lang w:val="en-US"/>
        </w:rPr>
        <w:t>/互动式</w:t>
      </w:r>
    </w:p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五、课程考核和成绩评定</w:t>
      </w:r>
    </w:p>
    <w:p>
      <w:pPr>
        <w:ind w:firstLine="627" w:firstLineChars="299"/>
        <w:rPr>
          <w:szCs w:val="21"/>
        </w:rPr>
      </w:pPr>
      <w:r>
        <w:rPr>
          <w:szCs w:val="21"/>
        </w:rPr>
        <w:t>Schriftliche Prüfungen(</w:t>
      </w:r>
      <w:r>
        <w:rPr>
          <w:rFonts w:hint="eastAsia"/>
          <w:szCs w:val="21"/>
        </w:rPr>
        <w:t>平时成绩3</w:t>
      </w:r>
      <w:r>
        <w:rPr>
          <w:szCs w:val="21"/>
        </w:rPr>
        <w:t>0%</w:t>
      </w:r>
      <w:r>
        <w:rPr>
          <w:rFonts w:hint="eastAsia"/>
          <w:szCs w:val="21"/>
        </w:rPr>
        <w:t>，期末成绩7</w:t>
      </w:r>
      <w:r>
        <w:rPr>
          <w:szCs w:val="21"/>
        </w:rPr>
        <w:t>0%</w:t>
      </w:r>
      <w:r>
        <w:rPr>
          <w:rFonts w:hint="eastAsia"/>
          <w:szCs w:val="21"/>
        </w:rPr>
        <w:t>)</w:t>
      </w:r>
    </w:p>
    <w:p/>
    <w:sectPr>
      <w:footerReference r:id="rId3" w:type="default"/>
      <w:pgSz w:w="11906" w:h="16838"/>
      <w:pgMar w:top="1418" w:right="1418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45E61"/>
    <w:multiLevelType w:val="multilevel"/>
    <w:tmpl w:val="31745E6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0D"/>
    <w:rsid w:val="00023684"/>
    <w:rsid w:val="000E73DE"/>
    <w:rsid w:val="00120D3E"/>
    <w:rsid w:val="001E6805"/>
    <w:rsid w:val="002A6F39"/>
    <w:rsid w:val="003F4133"/>
    <w:rsid w:val="004B2811"/>
    <w:rsid w:val="0053581B"/>
    <w:rsid w:val="005478F1"/>
    <w:rsid w:val="00582717"/>
    <w:rsid w:val="005E14A1"/>
    <w:rsid w:val="00602D2B"/>
    <w:rsid w:val="0071095A"/>
    <w:rsid w:val="00726D37"/>
    <w:rsid w:val="00770DEB"/>
    <w:rsid w:val="007D3B0D"/>
    <w:rsid w:val="00810826"/>
    <w:rsid w:val="00860AB9"/>
    <w:rsid w:val="008803F3"/>
    <w:rsid w:val="009412BA"/>
    <w:rsid w:val="00951FD2"/>
    <w:rsid w:val="009E4470"/>
    <w:rsid w:val="00A3155D"/>
    <w:rsid w:val="00A64B8E"/>
    <w:rsid w:val="00AA5A3A"/>
    <w:rsid w:val="00AB1B93"/>
    <w:rsid w:val="00B541E0"/>
    <w:rsid w:val="00B8214A"/>
    <w:rsid w:val="00C546C0"/>
    <w:rsid w:val="00CC0F1A"/>
    <w:rsid w:val="00D47413"/>
    <w:rsid w:val="00DE7362"/>
    <w:rsid w:val="00E70D65"/>
    <w:rsid w:val="00F0671D"/>
    <w:rsid w:val="00F20D57"/>
    <w:rsid w:val="00FD5534"/>
    <w:rsid w:val="12896BFB"/>
    <w:rsid w:val="73722C06"/>
    <w:rsid w:val="7638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de-DE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SISU</Company>
  <Pages>5</Pages>
  <Words>1159</Words>
  <Characters>6610</Characters>
  <Lines>55</Lines>
  <Paragraphs>15</Paragraphs>
  <TotalTime>13</TotalTime>
  <ScaleCrop>false</ScaleCrop>
  <LinksUpToDate>false</LinksUpToDate>
  <CharactersWithSpaces>7754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2022-02-17T02:00:00Z</dcterms:created>
  <dc:creator>jun liao</dc:creator>
  <cp:lastModifiedBy>YUCHUANLING</cp:lastModifiedBy>
  <dcterms:modified xsi:type="dcterms:W3CDTF">2022-02-17T03:09:49Z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