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jc w:val="center"/>
        <w:rPr>
          <w:rFonts w:ascii="Times New Roman" w:hAnsi="Times New Roman" w:eastAsia="黑体"/>
          <w:sz w:val="32"/>
          <w:szCs w:val="32"/>
        </w:rPr>
      </w:pPr>
      <w:bookmarkStart w:id="0" w:name="_GoBack"/>
      <w:bookmarkEnd w:id="0"/>
      <w:r>
        <w:rPr>
          <w:rFonts w:hint="eastAsia" w:ascii="Times New Roman" w:hAnsi="Times New Roman" w:eastAsia="黑体"/>
          <w:sz w:val="32"/>
          <w:szCs w:val="32"/>
        </w:rPr>
        <w:t>《德国当代国情研究》课程教学大纲</w:t>
      </w:r>
    </w:p>
    <w:p>
      <w:pPr>
        <w:snapToGrid w:val="0"/>
        <w:spacing w:before="156" w:beforeLines="50" w:line="360" w:lineRule="auto"/>
        <w:rPr>
          <w:rFonts w:ascii="Times New Roman" w:hAnsi="Times New Roman" w:eastAsia="黑体"/>
          <w:sz w:val="28"/>
          <w:szCs w:val="28"/>
        </w:rPr>
      </w:pPr>
      <w:r>
        <w:rPr>
          <w:rFonts w:hint="eastAsia" w:ascii="Times New Roman" w:hAnsi="Times New Roman" w:eastAsia="黑体"/>
          <w:sz w:val="28"/>
          <w:szCs w:val="28"/>
        </w:rPr>
        <w:t>一、课程基本信息</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5"/>
        <w:gridCol w:w="3402"/>
        <w:gridCol w:w="3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课程名称</w:t>
            </w:r>
          </w:p>
        </w:tc>
        <w:tc>
          <w:tcPr>
            <w:tcW w:w="7245" w:type="dxa"/>
            <w:gridSpan w:val="2"/>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szCs w:val="21"/>
              </w:rPr>
            </w:pPr>
            <w:r>
              <w:rPr>
                <w:rFonts w:hint="eastAsia" w:ascii="Times New Roman" w:hAnsi="Times New Roman"/>
                <w:szCs w:val="21"/>
              </w:rPr>
              <w:t>德国当代国情研究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德文名称</w:t>
            </w:r>
          </w:p>
        </w:tc>
        <w:tc>
          <w:tcPr>
            <w:tcW w:w="7245" w:type="dxa"/>
            <w:gridSpan w:val="2"/>
            <w:tcMar>
              <w:top w:w="0" w:type="dxa"/>
              <w:left w:w="57" w:type="dxa"/>
              <w:bottom w:w="0" w:type="dxa"/>
              <w:right w:w="57" w:type="dxa"/>
            </w:tcMar>
            <w:vAlign w:val="center"/>
          </w:tcPr>
          <w:p>
            <w:pPr>
              <w:widowControl/>
              <w:spacing w:line="300" w:lineRule="exact"/>
              <w:jc w:val="left"/>
              <w:rPr>
                <w:rFonts w:ascii="Times New Roman" w:hAnsi="Times New Roman"/>
                <w:kern w:val="0"/>
                <w:szCs w:val="21"/>
                <w:lang w:val="de-DE"/>
              </w:rPr>
            </w:pPr>
            <w:r>
              <w:rPr>
                <w:rFonts w:hint="default" w:ascii="Times New Roman" w:hAnsi="Times New Roman" w:cs="Times New Roman"/>
                <w:kern w:val="0"/>
                <w:szCs w:val="21"/>
                <w:lang w:val="de-DE"/>
              </w:rPr>
              <w:t> </w:t>
            </w:r>
            <w:r>
              <w:rPr>
                <w:rFonts w:hint="default" w:ascii="Times New Roman" w:hAnsi="Times New Roman" w:cs="Times New Roman"/>
                <w:color w:val="000000"/>
                <w:kern w:val="0"/>
                <w:szCs w:val="21"/>
                <w:lang w:val="de-DE"/>
              </w:rPr>
              <w:t>Studien über das gegenwärtige Deutschland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课程代码</w:t>
            </w:r>
          </w:p>
        </w:tc>
        <w:tc>
          <w:tcPr>
            <w:tcW w:w="3402" w:type="dxa"/>
            <w:tcBorders>
              <w:bottom w:val="single" w:color="auto" w:sz="4" w:space="0"/>
              <w:right w:val="single" w:color="auto" w:sz="4" w:space="0"/>
            </w:tcBorders>
            <w:tcMar>
              <w:top w:w="0" w:type="dxa"/>
              <w:left w:w="57" w:type="dxa"/>
              <w:bottom w:w="0" w:type="dxa"/>
              <w:right w:w="57" w:type="dxa"/>
            </w:tcMar>
            <w:vAlign w:val="center"/>
          </w:tcPr>
          <w:p>
            <w:pPr>
              <w:pStyle w:val="10"/>
              <w:rPr>
                <w:sz w:val="21"/>
                <w:szCs w:val="21"/>
              </w:rPr>
            </w:pPr>
            <w:r>
              <w:rPr>
                <w:rFonts w:ascii="Times New Roman" w:hAnsi="Times New Roman"/>
                <w:color w:val="000000"/>
                <w:sz w:val="21"/>
                <w:szCs w:val="21"/>
              </w:rPr>
              <w:t>ZYK0210034</w:t>
            </w:r>
            <w:r>
              <w:rPr>
                <w:sz w:val="21"/>
                <w:szCs w:val="21"/>
              </w:rPr>
              <w:t xml:space="preserve"> </w:t>
            </w:r>
          </w:p>
        </w:tc>
        <w:tc>
          <w:tcPr>
            <w:tcW w:w="3843" w:type="dxa"/>
            <w:tcBorders>
              <w:left w:val="single" w:color="auto" w:sz="4" w:space="0"/>
              <w:bottom w:val="single" w:color="auto" w:sz="4" w:space="0"/>
            </w:tcBorders>
            <w:tcMar>
              <w:top w:w="0" w:type="dxa"/>
              <w:left w:w="0" w:type="dxa"/>
              <w:bottom w:w="0" w:type="dxa"/>
              <w:right w:w="0" w:type="dxa"/>
            </w:tcMar>
            <w:vAlign w:val="center"/>
          </w:tcPr>
          <w:p>
            <w:pPr>
              <w:snapToGrid w:val="0"/>
              <w:spacing w:before="78" w:beforeLines="25" w:line="300" w:lineRule="auto"/>
              <w:ind w:left="34" w:leftChars="16"/>
              <w:jc w:val="center"/>
              <w:rPr>
                <w:rFonts w:ascii="Times New Roman" w:hAnsi="Times New Roman" w:eastAsia="黑体"/>
                <w:szCs w:val="21"/>
              </w:rPr>
            </w:pPr>
            <w:r>
              <w:rPr>
                <w:rFonts w:hint="eastAsia" w:ascii="Times New Roman" w:hAnsi="Times New Roman" w:eastAsia="黑体"/>
                <w:szCs w:val="21"/>
              </w:rPr>
              <w:t>与其他课程关系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课程性质</w:t>
            </w:r>
          </w:p>
        </w:tc>
        <w:tc>
          <w:tcPr>
            <w:tcW w:w="3402" w:type="dxa"/>
            <w:tcBorders>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szCs w:val="21"/>
              </w:rPr>
            </w:pPr>
            <w:r>
              <w:rPr>
                <w:rFonts w:hint="eastAsia" w:ascii="Times New Roman" w:hAnsi="Times New Roman"/>
                <w:szCs w:val="21"/>
              </w:rPr>
              <w:t>专业限选课</w:t>
            </w:r>
          </w:p>
        </w:tc>
        <w:tc>
          <w:tcPr>
            <w:tcW w:w="3843" w:type="dxa"/>
            <w:vMerge w:val="restart"/>
            <w:tcBorders>
              <w:left w:val="single" w:color="auto" w:sz="4" w:space="0"/>
              <w:bottom w:val="single" w:color="auto" w:sz="4" w:space="0"/>
            </w:tcBorders>
            <w:tcMar>
              <w:top w:w="0" w:type="dxa"/>
              <w:left w:w="0" w:type="dxa"/>
              <w:bottom w:w="0" w:type="dxa"/>
              <w:right w:w="0" w:type="dxa"/>
            </w:tcMar>
            <w:vAlign w:val="center"/>
          </w:tcPr>
          <w:p>
            <w:pPr>
              <w:snapToGrid w:val="0"/>
              <w:spacing w:line="360" w:lineRule="auto"/>
              <w:ind w:left="90" w:leftChars="43"/>
              <w:rPr>
                <w:rFonts w:ascii="Times New Roman" w:hAnsi="Times New Roman"/>
                <w:szCs w:val="21"/>
              </w:rPr>
            </w:pPr>
            <w:r>
              <w:rPr>
                <w:rFonts w:hint="eastAsia" w:ascii="Times New Roman" w:hAnsi="Times New Roman"/>
                <w:szCs w:val="21"/>
              </w:rPr>
              <w:t>先修课程：德语国家文化概况</w:t>
            </w:r>
          </w:p>
          <w:p>
            <w:pPr>
              <w:snapToGrid w:val="0"/>
              <w:spacing w:line="360" w:lineRule="auto"/>
              <w:ind w:left="90" w:leftChars="43"/>
              <w:rPr>
                <w:rFonts w:ascii="Times New Roman" w:hAnsi="Times New Roman"/>
                <w:szCs w:val="21"/>
              </w:rPr>
            </w:pPr>
            <w:r>
              <w:rPr>
                <w:rFonts w:hint="eastAsia" w:ascii="Times New Roman" w:hAnsi="Times New Roman"/>
                <w:szCs w:val="21"/>
              </w:rPr>
              <w:t>后续课程：无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学时</w:t>
            </w:r>
            <w:r>
              <w:rPr>
                <w:rFonts w:ascii="Times New Roman" w:hAnsi="Times New Roman"/>
                <w:szCs w:val="21"/>
              </w:rPr>
              <w:t>/</w:t>
            </w:r>
            <w:r>
              <w:rPr>
                <w:rFonts w:hint="eastAsia" w:ascii="Times New Roman" w:hAnsi="Times New Roman"/>
                <w:szCs w:val="21"/>
              </w:rPr>
              <w:t>学分</w:t>
            </w:r>
          </w:p>
        </w:tc>
        <w:tc>
          <w:tcPr>
            <w:tcW w:w="3402" w:type="dxa"/>
            <w:tcBorders>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szCs w:val="21"/>
              </w:rPr>
            </w:pPr>
            <w:r>
              <w:rPr>
                <w:rFonts w:ascii="Times New Roman" w:hAnsi="Times New Roman"/>
                <w:szCs w:val="21"/>
              </w:rPr>
              <w:t>32</w:t>
            </w:r>
            <w:r>
              <w:rPr>
                <w:rFonts w:hint="eastAsia" w:ascii="Times New Roman" w:hAnsi="Times New Roman"/>
                <w:szCs w:val="21"/>
              </w:rPr>
              <w:t>学时</w:t>
            </w:r>
            <w:r>
              <w:rPr>
                <w:rFonts w:ascii="Times New Roman" w:hAnsi="Times New Roman"/>
                <w:szCs w:val="21"/>
              </w:rPr>
              <w:t>/ 2</w:t>
            </w:r>
            <w:r>
              <w:rPr>
                <w:rFonts w:hint="eastAsia" w:ascii="Times New Roman" w:hAnsi="Times New Roman"/>
                <w:szCs w:val="21"/>
              </w:rPr>
              <w:t>学分</w:t>
            </w:r>
          </w:p>
        </w:tc>
        <w:tc>
          <w:tcPr>
            <w:tcW w:w="3843" w:type="dxa"/>
            <w:vMerge w:val="continue"/>
            <w:tcBorders>
              <w:left w:val="single" w:color="auto" w:sz="4" w:space="0"/>
              <w:bottom w:val="single" w:color="auto" w:sz="4" w:space="0"/>
            </w:tcBorders>
            <w:vAlign w:val="center"/>
          </w:tcPr>
          <w:p>
            <w:pPr>
              <w:widowControl/>
              <w:jc w:val="left"/>
              <w:rPr>
                <w:rFonts w:ascii="Times New Roman" w:hAnsi="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考核方式</w:t>
            </w:r>
          </w:p>
        </w:tc>
        <w:tc>
          <w:tcPr>
            <w:tcW w:w="3402" w:type="dxa"/>
            <w:tcBorders>
              <w:top w:val="single" w:color="auto" w:sz="4" w:space="0"/>
              <w:bottom w:val="single" w:color="auto" w:sz="4" w:space="0"/>
              <w:right w:val="single" w:color="auto" w:sz="4" w:space="0"/>
            </w:tcBorders>
            <w:tcMar>
              <w:top w:w="0" w:type="dxa"/>
              <w:left w:w="57" w:type="dxa"/>
              <w:bottom w:w="0" w:type="dxa"/>
              <w:right w:w="57" w:type="dxa"/>
            </w:tcMar>
            <w:vAlign w:val="center"/>
          </w:tcPr>
          <w:p>
            <w:pPr>
              <w:snapToGrid w:val="0"/>
              <w:ind w:left="34" w:leftChars="16"/>
              <w:jc w:val="left"/>
              <w:rPr>
                <w:rFonts w:ascii="Times New Roman" w:hAnsi="Times New Roman"/>
                <w:szCs w:val="21"/>
              </w:rPr>
            </w:pPr>
            <w:r>
              <w:rPr>
                <w:rFonts w:hint="eastAsia" w:ascii="Times New Roman" w:hAnsi="Times New Roman"/>
                <w:szCs w:val="21"/>
              </w:rPr>
              <w:t>考试</w:t>
            </w:r>
          </w:p>
        </w:tc>
        <w:tc>
          <w:tcPr>
            <w:tcW w:w="3843" w:type="dxa"/>
            <w:vMerge w:val="continue"/>
            <w:tcBorders>
              <w:left w:val="single" w:color="auto" w:sz="4" w:space="0"/>
              <w:bottom w:val="single" w:color="auto" w:sz="4" w:space="0"/>
            </w:tcBorders>
            <w:vAlign w:val="center"/>
          </w:tcPr>
          <w:p>
            <w:pPr>
              <w:widowControl/>
              <w:jc w:val="left"/>
              <w:rPr>
                <w:rFonts w:ascii="Times New Roman" w:hAnsi="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开课学期</w:t>
            </w:r>
          </w:p>
        </w:tc>
        <w:tc>
          <w:tcPr>
            <w:tcW w:w="3402" w:type="dxa"/>
            <w:tcBorders>
              <w:top w:val="single" w:color="auto"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szCs w:val="21"/>
              </w:rPr>
            </w:pPr>
            <w:r>
              <w:rPr>
                <w:rFonts w:hint="eastAsia" w:ascii="Times New Roman" w:hAnsi="Times New Roman"/>
                <w:szCs w:val="21"/>
              </w:rPr>
              <w:t>第</w:t>
            </w:r>
            <w:r>
              <w:rPr>
                <w:rFonts w:ascii="Times New Roman" w:hAnsi="Times New Roman"/>
                <w:szCs w:val="21"/>
              </w:rPr>
              <w:t>6</w:t>
            </w:r>
            <w:r>
              <w:rPr>
                <w:rFonts w:hint="eastAsia" w:ascii="Times New Roman" w:hAnsi="Times New Roman"/>
                <w:szCs w:val="21"/>
              </w:rPr>
              <w:t>学期</w:t>
            </w:r>
          </w:p>
        </w:tc>
        <w:tc>
          <w:tcPr>
            <w:tcW w:w="3843" w:type="dxa"/>
            <w:vMerge w:val="continue"/>
            <w:tcBorders>
              <w:left w:val="single" w:color="auto" w:sz="4" w:space="0"/>
              <w:bottom w:val="single" w:color="auto" w:sz="4" w:space="0"/>
            </w:tcBorders>
            <w:vAlign w:val="center"/>
          </w:tcPr>
          <w:p>
            <w:pPr>
              <w:widowControl/>
              <w:jc w:val="left"/>
              <w:rPr>
                <w:rFonts w:ascii="Times New Roman" w:hAnsi="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开课院系</w:t>
            </w:r>
          </w:p>
        </w:tc>
        <w:tc>
          <w:tcPr>
            <w:tcW w:w="3402" w:type="dxa"/>
            <w:tcBorders>
              <w:top w:val="single" w:color="auto" w:sz="4" w:space="0"/>
              <w:bottom w:val="single" w:color="auto" w:sz="4" w:space="0"/>
              <w:right w:val="single" w:color="auto"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szCs w:val="21"/>
              </w:rPr>
            </w:pPr>
            <w:r>
              <w:rPr>
                <w:rFonts w:hint="eastAsia" w:ascii="Times New Roman" w:hAnsi="Times New Roman"/>
                <w:szCs w:val="21"/>
              </w:rPr>
              <w:t>德语学院</w:t>
            </w:r>
          </w:p>
        </w:tc>
        <w:tc>
          <w:tcPr>
            <w:tcW w:w="3843" w:type="dxa"/>
            <w:vMerge w:val="continue"/>
            <w:tcBorders>
              <w:left w:val="single" w:color="auto" w:sz="4" w:space="0"/>
              <w:bottom w:val="single" w:color="auto" w:sz="4" w:space="0"/>
            </w:tcBorders>
            <w:vAlign w:val="center"/>
          </w:tcPr>
          <w:p>
            <w:pPr>
              <w:widowControl/>
              <w:jc w:val="left"/>
              <w:rPr>
                <w:rFonts w:ascii="Times New Roman" w:hAnsi="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565" w:type="dxa"/>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适用专业</w:t>
            </w:r>
          </w:p>
        </w:tc>
        <w:tc>
          <w:tcPr>
            <w:tcW w:w="7245" w:type="dxa"/>
            <w:gridSpan w:val="2"/>
            <w:tcBorders>
              <w:top w:val="single" w:color="auto"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ascii="Times New Roman" w:hAnsi="Times New Roman"/>
                <w:szCs w:val="21"/>
              </w:rPr>
            </w:pPr>
            <w:r>
              <w:rPr>
                <w:rFonts w:hint="eastAsia" w:ascii="Times New Roman" w:hAnsi="Times New Roman"/>
                <w:szCs w:val="21"/>
              </w:rPr>
              <w:t>德语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编制时间</w:t>
            </w:r>
          </w:p>
        </w:tc>
        <w:tc>
          <w:tcPr>
            <w:tcW w:w="7245" w:type="dxa"/>
            <w:gridSpan w:val="2"/>
            <w:tcBorders>
              <w:top w:val="single" w:color="auto" w:sz="4" w:space="0"/>
            </w:tcBorders>
            <w:tcMar>
              <w:top w:w="0" w:type="dxa"/>
              <w:left w:w="57" w:type="dxa"/>
              <w:bottom w:w="0" w:type="dxa"/>
              <w:right w:w="57" w:type="dxa"/>
            </w:tcMar>
            <w:vAlign w:val="center"/>
          </w:tcPr>
          <w:p>
            <w:pPr>
              <w:snapToGrid w:val="0"/>
              <w:spacing w:before="78" w:beforeLines="25" w:line="300" w:lineRule="auto"/>
              <w:ind w:left="34" w:leftChars="16"/>
              <w:jc w:val="left"/>
              <w:rPr>
                <w:rFonts w:hint="default" w:ascii="Times New Roman" w:hAnsi="Times New Roman" w:eastAsia="宋体"/>
                <w:szCs w:val="21"/>
                <w:lang w:val="en-US" w:eastAsia="zh-CN"/>
              </w:rPr>
            </w:pPr>
            <w:r>
              <w:rPr>
                <w:rFonts w:ascii="Times New Roman" w:hAnsi="Times New Roman"/>
                <w:szCs w:val="21"/>
              </w:rPr>
              <w:t>202</w:t>
            </w:r>
            <w:r>
              <w:rPr>
                <w:rFonts w:hint="eastAsia" w:ascii="Times New Roman" w:hAnsi="Times New Roman"/>
                <w:szCs w:val="21"/>
                <w:lang w:val="en-US" w:eastAsia="zh-CN"/>
              </w:rPr>
              <w:t>2</w:t>
            </w:r>
            <w:r>
              <w:rPr>
                <w:rFonts w:hint="eastAsia" w:ascii="Times New Roman" w:hAnsi="Times New Roman"/>
                <w:szCs w:val="21"/>
              </w:rPr>
              <w:t>年2月</w:t>
            </w:r>
            <w:r>
              <w:rPr>
                <w:rFonts w:hint="eastAsia" w:ascii="Times New Roman" w:hAnsi="Times New Roman"/>
                <w:szCs w:val="21"/>
                <w:lang w:val="en-US" w:eastAsia="zh-CN"/>
              </w:rPr>
              <w:t>17日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810" w:type="dxa"/>
            <w:gridSpan w:val="3"/>
            <w:tcMar>
              <w:top w:w="0" w:type="dxa"/>
              <w:left w:w="57" w:type="dxa"/>
              <w:bottom w:w="0" w:type="dxa"/>
              <w:right w:w="57" w:type="dxa"/>
            </w:tcMar>
            <w:vAlign w:val="center"/>
          </w:tcPr>
          <w:p>
            <w:pPr>
              <w:snapToGrid w:val="0"/>
              <w:spacing w:before="78" w:beforeLines="25" w:line="300" w:lineRule="auto"/>
              <w:jc w:val="center"/>
              <w:rPr>
                <w:rFonts w:ascii="Times New Roman" w:hAnsi="Times New Roman" w:eastAsia="黑体"/>
                <w:szCs w:val="21"/>
              </w:rPr>
            </w:pPr>
            <w:r>
              <w:rPr>
                <w:rFonts w:hint="eastAsia" w:ascii="Times New Roman" w:hAnsi="Times New Roman" w:eastAsia="黑体"/>
                <w:szCs w:val="21"/>
              </w:rPr>
              <w:t>课程教材与学习资源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tcBorders>
              <w:bottom w:val="single" w:color="auto"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参考教材</w:t>
            </w:r>
          </w:p>
        </w:tc>
        <w:tc>
          <w:tcPr>
            <w:tcW w:w="7245" w:type="dxa"/>
            <w:gridSpan w:val="2"/>
            <w:tcBorders>
              <w:bottom w:val="single" w:color="auto" w:sz="4" w:space="0"/>
            </w:tcBorders>
            <w:tcMar>
              <w:top w:w="0" w:type="dxa"/>
              <w:left w:w="57" w:type="dxa"/>
              <w:bottom w:w="0" w:type="dxa"/>
              <w:right w:w="57" w:type="dxa"/>
            </w:tcMar>
            <w:vAlign w:val="center"/>
          </w:tcPr>
          <w:p>
            <w:pPr>
              <w:snapToGrid w:val="0"/>
              <w:spacing w:before="78" w:beforeLines="25" w:line="300" w:lineRule="auto"/>
              <w:jc w:val="left"/>
              <w:rPr>
                <w:rFonts w:ascii="Times New Roman" w:hAnsi="Times New Roman"/>
                <w:szCs w:val="21"/>
                <w:lang w:val="de-DE"/>
              </w:rPr>
            </w:pPr>
            <w:r>
              <w:rPr>
                <w:rFonts w:hint="eastAsia"/>
                <w:lang w:val="de-DE"/>
              </w:rPr>
              <w:t>过文英，胡凯，姚宝：《德国概况》，上海：上海外语教育出版社2013年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2" w:hRule="atLeast"/>
        </w:trPr>
        <w:tc>
          <w:tcPr>
            <w:tcW w:w="1565" w:type="dxa"/>
            <w:tcBorders>
              <w:top w:val="single" w:color="auto"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教学参考资料及其他学习资源</w:t>
            </w:r>
          </w:p>
        </w:tc>
        <w:tc>
          <w:tcPr>
            <w:tcW w:w="7245" w:type="dxa"/>
            <w:gridSpan w:val="2"/>
            <w:tcBorders>
              <w:top w:val="single" w:color="auto" w:sz="4" w:space="0"/>
            </w:tcBorders>
            <w:tcMar>
              <w:top w:w="0" w:type="dxa"/>
              <w:left w:w="57" w:type="dxa"/>
              <w:bottom w:w="0" w:type="dxa"/>
              <w:right w:w="57" w:type="dxa"/>
            </w:tcMar>
            <w:vAlign w:val="center"/>
          </w:tcPr>
          <w:p>
            <w:pPr>
              <w:snapToGrid w:val="0"/>
              <w:spacing w:line="360" w:lineRule="auto"/>
              <w:ind w:left="420" w:hanging="420" w:hangingChars="200"/>
              <w:rPr>
                <w:rFonts w:ascii="Times New Roman" w:hAnsi="Times New Roman"/>
              </w:rPr>
            </w:pPr>
            <w:r>
              <w:rPr>
                <w:rFonts w:ascii="Times New Roman" w:hAnsi="Times New Roman"/>
              </w:rPr>
              <w:t xml:space="preserve">1. </w:t>
            </w:r>
            <w:r>
              <w:rPr>
                <w:rFonts w:hint="eastAsia" w:ascii="Times New Roman" w:hAnsi="Times New Roman"/>
                <w:lang w:val="de-DE"/>
              </w:rPr>
              <w:t>《</w:t>
            </w:r>
            <w:r>
              <w:rPr>
                <w:rFonts w:hint="eastAsia" w:ascii="Times New Roman" w:hAnsi="Times New Roman"/>
              </w:rPr>
              <w:t>Tatsache über Deutschland</w:t>
            </w:r>
            <w:r>
              <w:rPr>
                <w:rFonts w:hint="eastAsia" w:ascii="Times New Roman" w:hAnsi="Times New Roman"/>
                <w:lang w:val="de-DE"/>
              </w:rPr>
              <w:t>》</w:t>
            </w:r>
            <w:r>
              <w:rPr>
                <w:rFonts w:hint="eastAsia" w:ascii="Times New Roman" w:hAnsi="Times New Roman"/>
              </w:rPr>
              <w:t>，</w:t>
            </w:r>
            <w:r>
              <w:rPr>
                <w:rFonts w:hint="eastAsia" w:ascii="Times New Roman" w:hAnsi="Times New Roman"/>
                <w:lang w:val="de-DE"/>
              </w:rPr>
              <w:t>由德意志联邦信息局出版发行。</w:t>
            </w:r>
          </w:p>
          <w:p>
            <w:pPr>
              <w:snapToGrid w:val="0"/>
              <w:spacing w:line="360" w:lineRule="auto"/>
              <w:ind w:left="420" w:hanging="420" w:hangingChars="200"/>
              <w:rPr>
                <w:rFonts w:ascii="Times New Roman" w:hAnsi="Times New Roman"/>
                <w:bCs/>
                <w:i/>
              </w:rPr>
            </w:pPr>
            <w:r>
              <w:rPr>
                <w:rFonts w:ascii="Times New Roman" w:hAnsi="Times New Roman"/>
              </w:rPr>
              <w:t>2.</w:t>
            </w:r>
            <w:r>
              <w:rPr>
                <w:rFonts w:hint="eastAsia" w:ascii="Times New Roman" w:hAnsi="Times New Roman"/>
              </w:rPr>
              <w:t xml:space="preserve"> </w:t>
            </w:r>
            <w:r>
              <w:rPr>
                <w:rFonts w:hint="eastAsia" w:ascii="Times New Roman" w:hAnsi="Times New Roman"/>
                <w:lang w:val="de-DE"/>
              </w:rPr>
              <w:t>姚宝</w:t>
            </w:r>
            <w:r>
              <w:rPr>
                <w:rFonts w:hint="eastAsia" w:ascii="Times New Roman" w:hAnsi="Times New Roman"/>
              </w:rPr>
              <w:t>：</w:t>
            </w:r>
            <w:r>
              <w:rPr>
                <w:rFonts w:hint="eastAsia" w:ascii="Times New Roman" w:hAnsi="Times New Roman"/>
                <w:lang w:val="de-DE"/>
              </w:rPr>
              <w:t>《当代德国概况》</w:t>
            </w:r>
            <w:r>
              <w:rPr>
                <w:rFonts w:hint="eastAsia" w:ascii="Times New Roman" w:hAnsi="Times New Roman"/>
              </w:rPr>
              <w:t>，</w:t>
            </w:r>
            <w:r>
              <w:rPr>
                <w:rFonts w:hint="eastAsia" w:ascii="Times New Roman" w:hAnsi="Times New Roman"/>
                <w:lang w:val="de-DE"/>
              </w:rPr>
              <w:t>上海</w:t>
            </w:r>
            <w:r>
              <w:rPr>
                <w:rFonts w:hint="eastAsia" w:ascii="Times New Roman" w:hAnsi="Times New Roman"/>
              </w:rPr>
              <w:t>：</w:t>
            </w:r>
            <w:r>
              <w:rPr>
                <w:rFonts w:hint="eastAsia" w:ascii="Times New Roman" w:hAnsi="Times New Roman"/>
                <w:lang w:val="de-DE"/>
              </w:rPr>
              <w:t>上海外语教育出版社</w:t>
            </w:r>
            <w:r>
              <w:rPr>
                <w:rFonts w:hint="eastAsia" w:ascii="Times New Roman" w:hAnsi="Times New Roman"/>
              </w:rPr>
              <w:t>，</w:t>
            </w:r>
            <w:r>
              <w:rPr>
                <w:rFonts w:ascii="Times New Roman" w:hAnsi="Times New Roman"/>
              </w:rPr>
              <w:t>1998</w:t>
            </w:r>
            <w:r>
              <w:rPr>
                <w:rFonts w:hint="eastAsia" w:ascii="Times New Roman" w:hAnsi="Times New Roman"/>
                <w:lang w:val="de-DE"/>
              </w:rPr>
              <w:t>年</w:t>
            </w:r>
            <w:r>
              <w:rPr>
                <w:rFonts w:ascii="Times New Roman" w:hAnsi="Times New Roman"/>
              </w:rPr>
              <w:t>3</w:t>
            </w:r>
            <w:r>
              <w:rPr>
                <w:rFonts w:hint="eastAsia" w:ascii="Times New Roman" w:hAnsi="Times New Roman"/>
                <w:lang w:val="de-DE"/>
              </w:rPr>
              <w:t>月</w:t>
            </w:r>
            <w:r>
              <w:rPr>
                <w:rFonts w:ascii="Times New Roman" w:hAnsi="Times New Roman"/>
              </w:rPr>
              <w:t>1</w:t>
            </w:r>
            <w:r>
              <w:rPr>
                <w:rFonts w:hint="eastAsia" w:ascii="Times New Roman" w:hAnsi="Times New Roman"/>
                <w:lang w:val="de-DE"/>
              </w:rPr>
              <w:t>日。</w:t>
            </w:r>
          </w:p>
          <w:p>
            <w:pPr>
              <w:snapToGrid w:val="0"/>
              <w:spacing w:line="360" w:lineRule="auto"/>
              <w:ind w:left="420" w:hanging="420" w:hangingChars="200"/>
              <w:rPr>
                <w:rFonts w:ascii="Times New Roman" w:hAnsi="Times New Roman"/>
              </w:rPr>
            </w:pPr>
            <w:r>
              <w:rPr>
                <w:rFonts w:hint="eastAsia" w:ascii="Times New Roman" w:hAnsi="Times New Roman"/>
              </w:rPr>
              <w:t>3</w:t>
            </w:r>
            <w:r>
              <w:rPr>
                <w:rFonts w:ascii="Times New Roman" w:hAnsi="Times New Roman"/>
              </w:rPr>
              <w:t xml:space="preserve">. </w:t>
            </w:r>
            <w:r>
              <w:rPr>
                <w:rFonts w:hint="eastAsia" w:ascii="Times New Roman" w:hAnsi="Times New Roman"/>
                <w:lang w:val="de-DE"/>
              </w:rPr>
              <w:t>韩立新</w:t>
            </w:r>
            <w:r>
              <w:rPr>
                <w:rFonts w:ascii="Times New Roman" w:hAnsi="Times New Roman"/>
              </w:rPr>
              <w:t xml:space="preserve"> </w:t>
            </w:r>
            <w:r>
              <w:rPr>
                <w:rFonts w:hint="eastAsia" w:ascii="Times New Roman" w:hAnsi="Times New Roman"/>
                <w:lang w:val="de-DE"/>
              </w:rPr>
              <w:t>编</w:t>
            </w:r>
            <w:r>
              <w:rPr>
                <w:rFonts w:hint="eastAsia" w:ascii="Times New Roman" w:hAnsi="Times New Roman"/>
              </w:rPr>
              <w:t>：</w:t>
            </w:r>
            <w:r>
              <w:rPr>
                <w:rFonts w:hint="eastAsia" w:ascii="Times New Roman" w:hAnsi="Times New Roman"/>
                <w:lang w:val="de-DE"/>
              </w:rPr>
              <w:t>《新版《德意志意识形态》研究》</w:t>
            </w:r>
            <w:r>
              <w:rPr>
                <w:rFonts w:hint="eastAsia" w:ascii="Times New Roman" w:hAnsi="Times New Roman"/>
              </w:rPr>
              <w:t>，</w:t>
            </w:r>
            <w:r>
              <w:rPr>
                <w:rFonts w:hint="eastAsia" w:ascii="Times New Roman" w:hAnsi="Times New Roman"/>
                <w:lang w:val="de-DE"/>
              </w:rPr>
              <w:t>北京</w:t>
            </w:r>
            <w:r>
              <w:rPr>
                <w:rFonts w:hint="eastAsia" w:ascii="Times New Roman" w:hAnsi="Times New Roman"/>
              </w:rPr>
              <w:t>：</w:t>
            </w:r>
            <w:r>
              <w:rPr>
                <w:rFonts w:hint="eastAsia" w:ascii="Times New Roman" w:hAnsi="Times New Roman"/>
                <w:lang w:val="de-DE"/>
              </w:rPr>
              <w:t>中国人民大学出版社</w:t>
            </w:r>
            <w:r>
              <w:rPr>
                <w:rFonts w:hint="eastAsia" w:ascii="Times New Roman" w:hAnsi="Times New Roman"/>
              </w:rPr>
              <w:t>，</w:t>
            </w:r>
            <w:r>
              <w:rPr>
                <w:rFonts w:ascii="Times New Roman" w:hAnsi="Times New Roman"/>
              </w:rPr>
              <w:t>2008</w:t>
            </w:r>
            <w:r>
              <w:rPr>
                <w:rFonts w:hint="eastAsia" w:ascii="Times New Roman" w:hAnsi="Times New Roman"/>
                <w:lang w:val="de-DE"/>
              </w:rPr>
              <w:t>年</w:t>
            </w:r>
            <w:r>
              <w:rPr>
                <w:rFonts w:ascii="Times New Roman" w:hAnsi="Times New Roman"/>
              </w:rPr>
              <w:t>3</w:t>
            </w:r>
            <w:r>
              <w:rPr>
                <w:rFonts w:hint="eastAsia" w:ascii="Times New Roman" w:hAnsi="Times New Roman"/>
                <w:lang w:val="de-DE"/>
              </w:rPr>
              <w:t>月</w:t>
            </w:r>
            <w:r>
              <w:rPr>
                <w:rFonts w:ascii="Times New Roman" w:hAnsi="Times New Roman"/>
              </w:rPr>
              <w:t>1</w:t>
            </w:r>
            <w:r>
              <w:rPr>
                <w:rFonts w:hint="eastAsia" w:ascii="Times New Roman" w:hAnsi="Times New Roman"/>
                <w:lang w:val="de-DE"/>
              </w:rPr>
              <w:t>日。</w:t>
            </w:r>
          </w:p>
          <w:p>
            <w:pPr>
              <w:snapToGrid w:val="0"/>
              <w:spacing w:line="360" w:lineRule="auto"/>
              <w:ind w:left="420" w:hanging="420" w:hangingChars="200"/>
              <w:rPr>
                <w:rFonts w:ascii="Times New Roman" w:hAnsi="Times New Roman"/>
                <w:lang w:val="de-DE"/>
              </w:rPr>
            </w:pPr>
            <w:r>
              <w:rPr>
                <w:rFonts w:hint="eastAsia" w:ascii="Times New Roman" w:hAnsi="Times New Roman"/>
                <w:lang w:val="de-DE"/>
              </w:rPr>
              <w:t>4</w:t>
            </w:r>
            <w:r>
              <w:rPr>
                <w:rFonts w:ascii="Times New Roman" w:hAnsi="Times New Roman"/>
                <w:lang w:val="de-DE"/>
              </w:rPr>
              <w:t xml:space="preserve">. </w:t>
            </w:r>
            <w:r>
              <w:rPr>
                <w:rFonts w:hint="eastAsia" w:ascii="Times New Roman" w:hAnsi="Times New Roman"/>
                <w:lang w:val="de-DE"/>
              </w:rPr>
              <w:t>于尔格斯</w:t>
            </w:r>
            <w:r>
              <w:rPr>
                <w:rFonts w:ascii="Times New Roman" w:hAnsi="Times New Roman"/>
                <w:lang w:val="de-DE"/>
              </w:rPr>
              <w:t xml:space="preserve"> </w:t>
            </w:r>
            <w:r>
              <w:rPr>
                <w:rFonts w:hint="eastAsia" w:ascii="Times New Roman" w:hAnsi="Times New Roman"/>
                <w:lang w:val="de-DE"/>
              </w:rPr>
              <w:t>著，徐静华</w:t>
            </w:r>
            <w:r>
              <w:rPr>
                <w:rFonts w:ascii="Times New Roman" w:hAnsi="Times New Roman"/>
                <w:lang w:val="de-DE"/>
              </w:rPr>
              <w:t xml:space="preserve"> </w:t>
            </w:r>
            <w:r>
              <w:rPr>
                <w:rFonts w:hint="eastAsia" w:ascii="Times New Roman" w:hAnsi="Times New Roman"/>
                <w:lang w:val="de-DE"/>
              </w:rPr>
              <w:t>译：《德国统一现状》，北京：人民出版社，</w:t>
            </w:r>
            <w:r>
              <w:rPr>
                <w:rFonts w:ascii="Times New Roman" w:hAnsi="Times New Roman"/>
                <w:lang w:val="de-DE"/>
              </w:rPr>
              <w:t>2012</w:t>
            </w:r>
            <w:r>
              <w:rPr>
                <w:rFonts w:hint="eastAsia" w:ascii="Times New Roman" w:hAnsi="Times New Roman"/>
                <w:lang w:val="de-DE"/>
              </w:rPr>
              <w:t>年</w:t>
            </w:r>
            <w:r>
              <w:rPr>
                <w:rFonts w:ascii="Times New Roman" w:hAnsi="Times New Roman"/>
                <w:lang w:val="de-DE"/>
              </w:rPr>
              <w:t>3</w:t>
            </w:r>
            <w:r>
              <w:rPr>
                <w:rFonts w:hint="eastAsia" w:ascii="Times New Roman" w:hAnsi="Times New Roman"/>
                <w:lang w:val="de-DE"/>
              </w:rPr>
              <w:t>月</w:t>
            </w:r>
            <w:r>
              <w:rPr>
                <w:rFonts w:ascii="Times New Roman" w:hAnsi="Times New Roman"/>
                <w:lang w:val="de-DE"/>
              </w:rPr>
              <w:t>1</w:t>
            </w:r>
            <w:r>
              <w:rPr>
                <w:rFonts w:hint="eastAsia" w:ascii="Times New Roman" w:hAnsi="Times New Roman"/>
                <w:lang w:val="de-DE"/>
              </w:rPr>
              <w:t>日。</w:t>
            </w:r>
          </w:p>
          <w:p>
            <w:pPr>
              <w:snapToGrid w:val="0"/>
              <w:spacing w:line="360" w:lineRule="auto"/>
              <w:ind w:left="420" w:hanging="420" w:hangingChars="200"/>
              <w:rPr>
                <w:rFonts w:ascii="Times New Roman" w:hAnsi="Times New Roman"/>
                <w:lang w:val="de-DE"/>
              </w:rPr>
            </w:pPr>
            <w:r>
              <w:rPr>
                <w:rFonts w:hint="eastAsia" w:ascii="Times New Roman" w:hAnsi="Times New Roman"/>
                <w:lang w:val="de-DE"/>
              </w:rPr>
              <w:t>5</w:t>
            </w:r>
            <w:r>
              <w:rPr>
                <w:rFonts w:ascii="Times New Roman" w:hAnsi="Times New Roman"/>
                <w:lang w:val="de-DE"/>
              </w:rPr>
              <w:t xml:space="preserve">. </w:t>
            </w:r>
            <w:r>
              <w:rPr>
                <w:rFonts w:hint="eastAsia" w:ascii="Times New Roman" w:hAnsi="Times New Roman"/>
                <w:lang w:val="de-DE"/>
              </w:rPr>
              <w:t>保罗</w:t>
            </w:r>
            <w:r>
              <w:rPr>
                <w:rFonts w:ascii="宋体"/>
                <w:lang w:val="de-DE"/>
              </w:rPr>
              <w:t>•</w:t>
            </w:r>
            <w:r>
              <w:rPr>
                <w:rFonts w:hint="eastAsia" w:ascii="Times New Roman" w:hAnsi="Times New Roman"/>
                <w:lang w:val="de-DE"/>
              </w:rPr>
              <w:t>维尔芬斯、贝恩德</w:t>
            </w:r>
            <w:r>
              <w:rPr>
                <w:rFonts w:ascii="宋体"/>
                <w:lang w:val="de-DE"/>
              </w:rPr>
              <w:t>•</w:t>
            </w:r>
            <w:r>
              <w:rPr>
                <w:rFonts w:hint="eastAsia" w:ascii="Times New Roman" w:hAnsi="Times New Roman"/>
                <w:lang w:val="de-DE"/>
              </w:rPr>
              <w:t>迈那</w:t>
            </w:r>
            <w:r>
              <w:rPr>
                <w:rFonts w:ascii="Times New Roman" w:hAnsi="Times New Roman"/>
                <w:lang w:val="de-DE"/>
              </w:rPr>
              <w:t xml:space="preserve"> </w:t>
            </w:r>
            <w:r>
              <w:rPr>
                <w:rFonts w:hint="eastAsia" w:ascii="Times New Roman" w:hAnsi="Times New Roman"/>
                <w:lang w:val="de-DE"/>
              </w:rPr>
              <w:t>等</w:t>
            </w:r>
            <w:r>
              <w:rPr>
                <w:rFonts w:ascii="Times New Roman" w:hAnsi="Times New Roman"/>
                <w:lang w:val="de-DE"/>
              </w:rPr>
              <w:t xml:space="preserve"> </w:t>
            </w:r>
            <w:r>
              <w:rPr>
                <w:rFonts w:hint="eastAsia" w:ascii="Times New Roman" w:hAnsi="Times New Roman"/>
                <w:lang w:val="de-DE"/>
              </w:rPr>
              <w:t>著：《欧盟能源政策</w:t>
            </w:r>
            <w:r>
              <w:rPr>
                <w:rFonts w:ascii="Times New Roman" w:hAnsi="Times New Roman"/>
                <w:lang w:val="de-DE"/>
              </w:rPr>
              <w:t>:</w:t>
            </w:r>
            <w:r>
              <w:rPr>
                <w:rFonts w:hint="eastAsia" w:ascii="Times New Roman" w:hAnsi="Times New Roman"/>
                <w:lang w:val="de-DE"/>
              </w:rPr>
              <w:t>以德国生态税改革为例》，北京：经济管理出版社，</w:t>
            </w:r>
            <w:r>
              <w:rPr>
                <w:rFonts w:ascii="Times New Roman" w:hAnsi="Times New Roman"/>
                <w:lang w:val="de-DE"/>
              </w:rPr>
              <w:t>2014</w:t>
            </w:r>
            <w:r>
              <w:rPr>
                <w:rFonts w:hint="eastAsia" w:ascii="Times New Roman" w:hAnsi="Times New Roman"/>
                <w:lang w:val="de-DE"/>
              </w:rPr>
              <w:t>年</w:t>
            </w:r>
            <w:r>
              <w:rPr>
                <w:rFonts w:ascii="Times New Roman" w:hAnsi="Times New Roman"/>
                <w:lang w:val="de-DE"/>
              </w:rPr>
              <w:t>3</w:t>
            </w:r>
            <w:r>
              <w:rPr>
                <w:rFonts w:hint="eastAsia" w:ascii="Times New Roman" w:hAnsi="Times New Roman"/>
                <w:lang w:val="de-DE"/>
              </w:rPr>
              <w:t>月</w:t>
            </w:r>
            <w:r>
              <w:rPr>
                <w:rFonts w:ascii="Times New Roman" w:hAnsi="Times New Roman"/>
                <w:lang w:val="de-DE"/>
              </w:rPr>
              <w:t>1</w:t>
            </w:r>
            <w:r>
              <w:rPr>
                <w:rFonts w:hint="eastAsia" w:ascii="Times New Roman" w:hAnsi="Times New Roman"/>
                <w:lang w:val="de-DE"/>
              </w:rPr>
              <w:t>日。</w:t>
            </w:r>
          </w:p>
          <w:p>
            <w:pPr>
              <w:snapToGrid w:val="0"/>
              <w:spacing w:line="360" w:lineRule="auto"/>
              <w:ind w:left="420" w:hanging="420" w:hangingChars="200"/>
              <w:rPr>
                <w:rFonts w:ascii="Times New Roman" w:hAnsi="Times New Roman"/>
                <w:lang w:val="de-DE"/>
              </w:rPr>
            </w:pPr>
            <w:r>
              <w:rPr>
                <w:rFonts w:hint="eastAsia" w:ascii="Times New Roman" w:hAnsi="Times New Roman"/>
                <w:lang w:val="de-DE"/>
              </w:rPr>
              <w:t>6</w:t>
            </w:r>
            <w:r>
              <w:rPr>
                <w:rFonts w:ascii="Times New Roman" w:hAnsi="Times New Roman"/>
                <w:lang w:val="de-DE"/>
              </w:rPr>
              <w:t xml:space="preserve">. </w:t>
            </w:r>
            <w:r>
              <w:rPr>
                <w:rFonts w:hint="eastAsia" w:ascii="Times New Roman" w:hAnsi="Times New Roman"/>
                <w:lang w:val="de-DE"/>
              </w:rPr>
              <w:t>罗炜：《普通高等教育</w:t>
            </w:r>
            <w:r>
              <w:rPr>
                <w:rFonts w:ascii="Times New Roman" w:hAnsi="Times New Roman"/>
                <w:lang w:val="de-DE"/>
              </w:rPr>
              <w:t>"</w:t>
            </w:r>
            <w:r>
              <w:rPr>
                <w:rFonts w:hint="eastAsia" w:ascii="Times New Roman" w:hAnsi="Times New Roman"/>
                <w:lang w:val="de-DE"/>
              </w:rPr>
              <w:t>十一五</w:t>
            </w:r>
            <w:r>
              <w:rPr>
                <w:rFonts w:ascii="Times New Roman" w:hAnsi="Times New Roman"/>
                <w:lang w:val="de-DE"/>
              </w:rPr>
              <w:t>"</w:t>
            </w:r>
            <w:r>
              <w:rPr>
                <w:rFonts w:hint="eastAsia" w:ascii="Times New Roman" w:hAnsi="Times New Roman"/>
                <w:lang w:val="de-DE"/>
              </w:rPr>
              <w:t>国家级规划教材·</w:t>
            </w:r>
            <w:r>
              <w:rPr>
                <w:rFonts w:ascii="Times New Roman" w:hAnsi="Times New Roman"/>
                <w:lang w:val="de-DE"/>
              </w:rPr>
              <w:t>21</w:t>
            </w:r>
            <w:r>
              <w:rPr>
                <w:rFonts w:hint="eastAsia" w:ascii="Times New Roman" w:hAnsi="Times New Roman"/>
                <w:lang w:val="de-DE"/>
              </w:rPr>
              <w:t>世纪德语系列教材</w:t>
            </w:r>
            <w:r>
              <w:rPr>
                <w:rFonts w:ascii="Times New Roman" w:hAnsi="Times New Roman"/>
                <w:lang w:val="de-DE"/>
              </w:rPr>
              <w:t>:</w:t>
            </w:r>
            <w:r>
              <w:rPr>
                <w:rFonts w:hint="eastAsia" w:ascii="Times New Roman" w:hAnsi="Times New Roman"/>
                <w:lang w:val="de-DE"/>
              </w:rPr>
              <w:t>德国历史基础教程》，北京：北京大学出版社，</w:t>
            </w:r>
            <w:r>
              <w:rPr>
                <w:rFonts w:ascii="Times New Roman" w:hAnsi="Times New Roman"/>
                <w:lang w:val="de-DE"/>
              </w:rPr>
              <w:t>2011</w:t>
            </w:r>
            <w:r>
              <w:rPr>
                <w:rFonts w:hint="eastAsia" w:ascii="Times New Roman" w:hAnsi="Times New Roman"/>
                <w:lang w:val="de-DE"/>
              </w:rPr>
              <w:t>年</w:t>
            </w:r>
            <w:r>
              <w:rPr>
                <w:rFonts w:ascii="Times New Roman" w:hAnsi="Times New Roman"/>
                <w:lang w:val="de-DE"/>
              </w:rPr>
              <w:t>9</w:t>
            </w:r>
            <w:r>
              <w:rPr>
                <w:rFonts w:hint="eastAsia" w:ascii="Times New Roman" w:hAnsi="Times New Roman"/>
                <w:lang w:val="de-DE"/>
              </w:rPr>
              <w:t>月</w:t>
            </w:r>
            <w:r>
              <w:rPr>
                <w:rFonts w:ascii="Times New Roman" w:hAnsi="Times New Roman"/>
                <w:lang w:val="de-DE"/>
              </w:rPr>
              <w:t>1</w:t>
            </w:r>
            <w:r>
              <w:rPr>
                <w:rFonts w:hint="eastAsia" w:ascii="Times New Roman" w:hAnsi="Times New Roman"/>
                <w:lang w:val="de-DE"/>
              </w:rPr>
              <w:t>日。</w:t>
            </w:r>
          </w:p>
          <w:p>
            <w:pPr>
              <w:snapToGrid w:val="0"/>
              <w:spacing w:line="360" w:lineRule="auto"/>
              <w:ind w:left="420" w:hanging="420" w:hangingChars="200"/>
              <w:rPr>
                <w:rFonts w:ascii="Times New Roman" w:hAnsi="Times New Roman"/>
                <w:lang w:val="de-DE"/>
              </w:rPr>
            </w:pPr>
            <w:r>
              <w:rPr>
                <w:rFonts w:hint="eastAsia" w:ascii="Times New Roman" w:hAnsi="Times New Roman"/>
                <w:lang w:val="de-DE"/>
              </w:rPr>
              <w:t>7</w:t>
            </w:r>
            <w:r>
              <w:rPr>
                <w:rFonts w:ascii="Times New Roman" w:hAnsi="Times New Roman"/>
                <w:lang w:val="de-DE"/>
              </w:rPr>
              <w:t xml:space="preserve">. </w:t>
            </w:r>
            <w:r>
              <w:rPr>
                <w:rFonts w:hint="eastAsia" w:ascii="Times New Roman" w:hAnsi="Times New Roman"/>
                <w:lang w:val="de-DE"/>
              </w:rPr>
              <w:t>朱孝远：《宗教改革与德国近代化的道路》，北京：人民出版社，</w:t>
            </w:r>
            <w:r>
              <w:rPr>
                <w:rFonts w:ascii="Times New Roman" w:hAnsi="Times New Roman"/>
                <w:lang w:val="de-DE"/>
              </w:rPr>
              <w:t>2011</w:t>
            </w:r>
            <w:r>
              <w:rPr>
                <w:rFonts w:hint="eastAsia" w:ascii="Times New Roman" w:hAnsi="Times New Roman"/>
                <w:lang w:val="de-DE"/>
              </w:rPr>
              <w:t>年</w:t>
            </w:r>
            <w:r>
              <w:rPr>
                <w:rFonts w:ascii="Times New Roman" w:hAnsi="Times New Roman"/>
                <w:lang w:val="de-DE"/>
              </w:rPr>
              <w:t>3</w:t>
            </w:r>
            <w:r>
              <w:rPr>
                <w:rFonts w:hint="eastAsia" w:ascii="Times New Roman" w:hAnsi="Times New Roman"/>
                <w:lang w:val="de-DE"/>
              </w:rPr>
              <w:t>月</w:t>
            </w:r>
            <w:r>
              <w:rPr>
                <w:rFonts w:ascii="Times New Roman" w:hAnsi="Times New Roman"/>
                <w:lang w:val="de-DE"/>
              </w:rPr>
              <w:t>1</w:t>
            </w:r>
            <w:r>
              <w:rPr>
                <w:rFonts w:hint="eastAsia" w:ascii="Times New Roman" w:hAnsi="Times New Roman"/>
                <w:lang w:val="de-DE"/>
              </w:rPr>
              <w:t>日。</w:t>
            </w:r>
          </w:p>
          <w:p>
            <w:pPr>
              <w:snapToGrid w:val="0"/>
              <w:spacing w:line="360" w:lineRule="auto"/>
              <w:ind w:left="420" w:hanging="420" w:hangingChars="200"/>
              <w:rPr>
                <w:rFonts w:ascii="Times New Roman" w:hAnsi="Times New Roman"/>
                <w:lang w:val="de-DE"/>
              </w:rPr>
            </w:pPr>
            <w:r>
              <w:rPr>
                <w:rFonts w:hint="eastAsia" w:ascii="Times New Roman" w:hAnsi="Times New Roman"/>
                <w:lang w:val="de-DE"/>
              </w:rPr>
              <w:t>8</w:t>
            </w:r>
            <w:r>
              <w:rPr>
                <w:rFonts w:ascii="Times New Roman" w:hAnsi="Times New Roman"/>
                <w:lang w:val="de-DE"/>
              </w:rPr>
              <w:t xml:space="preserve">. </w:t>
            </w:r>
            <w:r>
              <w:rPr>
                <w:rFonts w:hint="eastAsia" w:ascii="Times New Roman" w:hAnsi="Times New Roman"/>
                <w:lang w:val="de-DE"/>
              </w:rPr>
              <w:t>埃弗哈德·霍尔特曼</w:t>
            </w:r>
            <w:r>
              <w:rPr>
                <w:rFonts w:ascii="Times New Roman" w:hAnsi="Times New Roman"/>
                <w:lang w:val="de-DE"/>
              </w:rPr>
              <w:t xml:space="preserve"> </w:t>
            </w:r>
            <w:r>
              <w:rPr>
                <w:rFonts w:hint="eastAsia" w:ascii="Times New Roman" w:hAnsi="Times New Roman"/>
                <w:lang w:val="de-DE"/>
              </w:rPr>
              <w:t>著，程迈</w:t>
            </w:r>
            <w:r>
              <w:rPr>
                <w:rFonts w:ascii="Times New Roman" w:hAnsi="Times New Roman"/>
                <w:lang w:val="de-DE"/>
              </w:rPr>
              <w:t xml:space="preserve"> </w:t>
            </w:r>
            <w:r>
              <w:rPr>
                <w:rFonts w:hint="eastAsia" w:ascii="Times New Roman" w:hAnsi="Times New Roman"/>
                <w:lang w:val="de-DE"/>
              </w:rPr>
              <w:t>译：《德国政党国家</w:t>
            </w:r>
            <w:r>
              <w:rPr>
                <w:rFonts w:ascii="Times New Roman" w:hAnsi="Times New Roman"/>
                <w:lang w:val="de-DE"/>
              </w:rPr>
              <w:t>:</w:t>
            </w:r>
            <w:r>
              <w:rPr>
                <w:rFonts w:hint="eastAsia" w:ascii="Times New Roman" w:hAnsi="Times New Roman"/>
                <w:lang w:val="de-DE"/>
              </w:rPr>
              <w:t>解释、发展与表现形式》，北京：中国政法大学出版社，</w:t>
            </w:r>
            <w:r>
              <w:rPr>
                <w:rFonts w:ascii="Times New Roman" w:hAnsi="Times New Roman"/>
                <w:lang w:val="de-DE"/>
              </w:rPr>
              <w:t>2015</w:t>
            </w:r>
            <w:r>
              <w:rPr>
                <w:rFonts w:hint="eastAsia" w:ascii="Times New Roman" w:hAnsi="Times New Roman"/>
                <w:lang w:val="de-DE"/>
              </w:rPr>
              <w:t>年</w:t>
            </w:r>
            <w:r>
              <w:rPr>
                <w:rFonts w:ascii="Times New Roman" w:hAnsi="Times New Roman"/>
                <w:lang w:val="de-DE"/>
              </w:rPr>
              <w:t>1</w:t>
            </w:r>
            <w:r>
              <w:rPr>
                <w:rFonts w:hint="eastAsia" w:ascii="Times New Roman" w:hAnsi="Times New Roman"/>
                <w:lang w:val="de-DE"/>
              </w:rPr>
              <w:t>月</w:t>
            </w:r>
            <w:r>
              <w:rPr>
                <w:rFonts w:ascii="Times New Roman" w:hAnsi="Times New Roman"/>
                <w:lang w:val="de-DE"/>
              </w:rPr>
              <w:t>1</w:t>
            </w:r>
            <w:r>
              <w:rPr>
                <w:rFonts w:hint="eastAsia" w:ascii="Times New Roman" w:hAnsi="Times New Roman"/>
                <w:lang w:val="de-DE"/>
              </w:rPr>
              <w:t>日。</w:t>
            </w:r>
          </w:p>
          <w:p>
            <w:pPr>
              <w:snapToGrid w:val="0"/>
              <w:spacing w:line="360" w:lineRule="auto"/>
              <w:ind w:left="420" w:hanging="420" w:hangingChars="200"/>
              <w:rPr>
                <w:rFonts w:ascii="Times New Roman" w:hAnsi="Times New Roman"/>
                <w:lang w:val="de-DE"/>
              </w:rPr>
            </w:pPr>
            <w:r>
              <w:rPr>
                <w:rFonts w:hint="eastAsia" w:ascii="Times New Roman" w:hAnsi="Times New Roman"/>
                <w:lang w:val="de-DE"/>
              </w:rPr>
              <w:t>9</w:t>
            </w:r>
            <w:r>
              <w:rPr>
                <w:rFonts w:ascii="Times New Roman" w:hAnsi="Times New Roman"/>
                <w:lang w:val="de-DE"/>
              </w:rPr>
              <w:t xml:space="preserve">. </w:t>
            </w:r>
            <w:r>
              <w:rPr>
                <w:rFonts w:hint="eastAsia" w:ascii="Times New Roman" w:hAnsi="Times New Roman"/>
                <w:lang w:val="de-DE"/>
              </w:rPr>
              <w:t>齐佩利乌斯</w:t>
            </w:r>
            <w:r>
              <w:rPr>
                <w:rFonts w:ascii="Times New Roman" w:hAnsi="Times New Roman"/>
                <w:lang w:val="de-DE"/>
              </w:rPr>
              <w:t xml:space="preserve"> </w:t>
            </w:r>
            <w:r>
              <w:rPr>
                <w:rFonts w:hint="eastAsia" w:ascii="Times New Roman" w:hAnsi="Times New Roman"/>
                <w:lang w:val="de-DE"/>
              </w:rPr>
              <w:t>著，赵宏</w:t>
            </w:r>
            <w:r>
              <w:rPr>
                <w:rFonts w:ascii="Times New Roman" w:hAnsi="Times New Roman"/>
                <w:lang w:val="de-DE"/>
              </w:rPr>
              <w:t xml:space="preserve"> </w:t>
            </w:r>
            <w:r>
              <w:rPr>
                <w:rFonts w:hint="eastAsia" w:ascii="Times New Roman" w:hAnsi="Times New Roman"/>
                <w:lang w:val="de-DE"/>
              </w:rPr>
              <w:t>译：《德国国家学》，北京：法律出版社，</w:t>
            </w:r>
            <w:r>
              <w:rPr>
                <w:rFonts w:ascii="Times New Roman" w:hAnsi="Times New Roman"/>
                <w:lang w:val="de-DE"/>
              </w:rPr>
              <w:t>2011</w:t>
            </w:r>
            <w:r>
              <w:rPr>
                <w:rFonts w:hint="eastAsia" w:ascii="Times New Roman" w:hAnsi="Times New Roman"/>
                <w:lang w:val="de-DE"/>
              </w:rPr>
              <w:t>年</w:t>
            </w:r>
            <w:r>
              <w:rPr>
                <w:rFonts w:ascii="Times New Roman" w:hAnsi="Times New Roman"/>
                <w:lang w:val="de-DE"/>
              </w:rPr>
              <w:t>8</w:t>
            </w:r>
            <w:r>
              <w:rPr>
                <w:rFonts w:hint="eastAsia" w:ascii="Times New Roman" w:hAnsi="Times New Roman"/>
                <w:lang w:val="de-DE"/>
              </w:rPr>
              <w:t>月</w:t>
            </w:r>
            <w:r>
              <w:rPr>
                <w:rFonts w:ascii="Times New Roman" w:hAnsi="Times New Roman"/>
                <w:lang w:val="de-DE"/>
              </w:rPr>
              <w:t>1</w:t>
            </w:r>
            <w:r>
              <w:rPr>
                <w:rFonts w:hint="eastAsia" w:ascii="Times New Roman" w:hAnsi="Times New Roman"/>
                <w:lang w:val="de-DE"/>
              </w:rPr>
              <w:t>日。</w:t>
            </w:r>
          </w:p>
          <w:p>
            <w:pPr>
              <w:snapToGrid w:val="0"/>
              <w:spacing w:line="360" w:lineRule="auto"/>
              <w:ind w:left="420" w:hanging="420" w:hangingChars="200"/>
              <w:rPr>
                <w:rFonts w:ascii="Times New Roman" w:hAnsi="Times New Roman"/>
                <w:lang w:val="de-DE"/>
              </w:rPr>
            </w:pPr>
            <w:r>
              <w:rPr>
                <w:rFonts w:hint="eastAsia" w:ascii="Times New Roman" w:hAnsi="Times New Roman"/>
                <w:lang w:val="de-DE"/>
              </w:rPr>
              <w:t>10</w:t>
            </w:r>
            <w:r>
              <w:rPr>
                <w:rFonts w:ascii="Times New Roman" w:hAnsi="Times New Roman"/>
                <w:lang w:val="de-DE"/>
              </w:rPr>
              <w:t>.</w:t>
            </w:r>
            <w:r>
              <w:rPr>
                <w:rFonts w:hint="eastAsia" w:ascii="Times New Roman" w:hAnsi="Times New Roman"/>
                <w:lang w:val="de-DE"/>
              </w:rPr>
              <w:t xml:space="preserve"> 卢歇尔：《德国概况：统一后的德国国情》，上海：上海译文出版社，2005年。</w:t>
            </w:r>
          </w:p>
          <w:p>
            <w:pPr>
              <w:snapToGrid w:val="0"/>
              <w:spacing w:line="360" w:lineRule="auto"/>
              <w:ind w:left="420" w:hanging="420" w:hangingChars="200"/>
              <w:rPr>
                <w:rFonts w:ascii="Times New Roman" w:hAnsi="Times New Roman"/>
                <w:lang w:val="de-DE"/>
              </w:rPr>
            </w:pPr>
            <w:r>
              <w:rPr>
                <w:rFonts w:hint="eastAsia" w:ascii="Times New Roman" w:hAnsi="Times New Roman"/>
                <w:lang w:val="de-DE"/>
              </w:rPr>
              <w:t>11</w:t>
            </w:r>
            <w:r>
              <w:rPr>
                <w:rFonts w:ascii="Times New Roman" w:hAnsi="Times New Roman"/>
                <w:lang w:val="de-DE"/>
              </w:rPr>
              <w:t>.</w:t>
            </w:r>
            <w:r>
              <w:rPr>
                <w:rFonts w:hint="eastAsia" w:ascii="Times New Roman" w:hAnsi="Times New Roman"/>
                <w:lang w:val="de-DE"/>
              </w:rPr>
              <w:t xml:space="preserve"> Rudzio, Wolfgang: </w:t>
            </w:r>
            <w:r>
              <w:rPr>
                <w:rFonts w:ascii="Times New Roman" w:hAnsi="Times New Roman"/>
                <w:i/>
                <w:lang w:val="de-DE"/>
              </w:rPr>
              <w:t>Das politische System der Bundesrepublik Deutschland</w:t>
            </w:r>
            <w:r>
              <w:rPr>
                <w:rFonts w:hint="eastAsia" w:ascii="Times New Roman" w:hAnsi="Times New Roman"/>
                <w:lang w:val="de-DE"/>
              </w:rPr>
              <w:t xml:space="preserve">, Heidelberg: </w:t>
            </w:r>
            <w:r>
              <w:rPr>
                <w:rFonts w:ascii="Times New Roman" w:hAnsi="Times New Roman"/>
                <w:lang w:val="de-DE"/>
              </w:rPr>
              <w:t>Springer VS 2015.</w:t>
            </w:r>
          </w:p>
          <w:p>
            <w:pPr>
              <w:snapToGrid w:val="0"/>
              <w:spacing w:line="360" w:lineRule="auto"/>
              <w:ind w:left="420" w:hanging="420" w:hangingChars="200"/>
              <w:rPr>
                <w:rFonts w:ascii="Times New Roman" w:hAnsi="Times New Roman"/>
                <w:lang w:val="de-DE"/>
              </w:rPr>
            </w:pPr>
            <w:r>
              <w:rPr>
                <w:rFonts w:hint="eastAsia" w:ascii="Times New Roman" w:hAnsi="Times New Roman"/>
                <w:lang w:val="de-DE"/>
              </w:rPr>
              <w:t>12</w:t>
            </w:r>
            <w:r>
              <w:rPr>
                <w:rFonts w:ascii="Times New Roman" w:hAnsi="Times New Roman"/>
                <w:lang w:val="de-DE"/>
              </w:rPr>
              <w:t xml:space="preserve">. Planck, Gottlieb Jakob: </w:t>
            </w:r>
            <w:r>
              <w:rPr>
                <w:rFonts w:hint="eastAsia" w:ascii="Times New Roman" w:hAnsi="Times New Roman"/>
                <w:i/>
                <w:lang w:val="de-DE"/>
              </w:rPr>
              <w:t>Ü</w:t>
            </w:r>
            <w:r>
              <w:rPr>
                <w:rFonts w:ascii="Times New Roman" w:hAnsi="Times New Roman"/>
                <w:i/>
                <w:lang w:val="de-DE"/>
              </w:rPr>
              <w:t>ber die gegenwärtige Lage und Verhältnisse der katholischen und der protestantischen Partei in Deutschland und einige besondere zum Thei von dem deutschen Bundes-Tage Barüber zu erwartende  Bestimmungen: Betrachtungen und Wünsche,</w:t>
            </w:r>
            <w:r>
              <w:rPr>
                <w:rFonts w:ascii="Times New Roman" w:hAnsi="Times New Roman"/>
                <w:lang w:val="de-DE"/>
              </w:rPr>
              <w:t xml:space="preserve"> Deutschland: Nabu Press 2010.</w:t>
            </w:r>
          </w:p>
          <w:p>
            <w:pPr>
              <w:snapToGrid w:val="0"/>
              <w:spacing w:line="360" w:lineRule="auto"/>
              <w:ind w:left="420" w:hanging="420" w:hangingChars="200"/>
              <w:rPr>
                <w:rFonts w:ascii="Times New Roman" w:hAnsi="Times New Roman"/>
                <w:lang w:val="de-DE"/>
              </w:rPr>
            </w:pPr>
            <w:r>
              <w:rPr>
                <w:rFonts w:hint="eastAsia" w:ascii="Times New Roman" w:hAnsi="Times New Roman"/>
                <w:lang w:val="de-DE"/>
              </w:rPr>
              <w:t>13</w:t>
            </w:r>
            <w:r>
              <w:rPr>
                <w:rFonts w:ascii="Times New Roman" w:hAnsi="Times New Roman"/>
                <w:lang w:val="de-DE"/>
              </w:rPr>
              <w:t xml:space="preserve">. Conze, Eckart: </w:t>
            </w:r>
            <w:r>
              <w:rPr>
                <w:rFonts w:ascii="Times New Roman" w:hAnsi="Times New Roman"/>
                <w:i/>
                <w:lang w:val="de-DE"/>
              </w:rPr>
              <w:t>Die Suche nach Sicherheit: Eine Geschichte der Bundesrepublik Deutschland von 1949 bis in die Gegenwart</w:t>
            </w:r>
            <w:r>
              <w:rPr>
                <w:rFonts w:ascii="Times New Roman" w:hAnsi="Times New Roman"/>
                <w:lang w:val="de-DE"/>
              </w:rPr>
              <w:t>, München: Siedler Verlag 2009.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810" w:type="dxa"/>
            <w:gridSpan w:val="3"/>
            <w:tcBorders>
              <w:top w:val="single" w:color="auto" w:sz="4" w:space="0"/>
              <w:bottom w:val="single" w:color="auto" w:sz="4" w:space="0"/>
            </w:tcBorders>
            <w:tcMar>
              <w:top w:w="0" w:type="dxa"/>
              <w:left w:w="0" w:type="dxa"/>
              <w:bottom w:w="0" w:type="dxa"/>
              <w:right w:w="0" w:type="dxa"/>
            </w:tcMar>
            <w:vAlign w:val="center"/>
          </w:tcPr>
          <w:p>
            <w:pPr>
              <w:snapToGrid w:val="0"/>
              <w:spacing w:before="78" w:beforeLines="25" w:line="300" w:lineRule="auto"/>
              <w:jc w:val="center"/>
              <w:rPr>
                <w:rFonts w:ascii="Times New Roman" w:hAnsi="Times New Roman"/>
                <w:szCs w:val="21"/>
              </w:rPr>
            </w:pPr>
            <w:r>
              <w:rPr>
                <w:rFonts w:hint="eastAsia" w:ascii="Times New Roman" w:hAnsi="Times New Roman" w:eastAsia="黑体"/>
                <w:szCs w:val="21"/>
              </w:rPr>
              <w:t>大纲编制人及责任人信息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大纲编制人员</w:t>
            </w:r>
          </w:p>
        </w:tc>
        <w:tc>
          <w:tcPr>
            <w:tcW w:w="7245" w:type="dxa"/>
            <w:gridSpan w:val="2"/>
            <w:tcMar>
              <w:top w:w="0" w:type="dxa"/>
              <w:left w:w="57" w:type="dxa"/>
              <w:bottom w:w="0" w:type="dxa"/>
              <w:right w:w="57" w:type="dxa"/>
            </w:tcMar>
            <w:vAlign w:val="center"/>
          </w:tcPr>
          <w:p>
            <w:pPr>
              <w:snapToGrid w:val="0"/>
              <w:spacing w:before="78" w:beforeLines="25" w:line="300" w:lineRule="auto"/>
              <w:rPr>
                <w:rFonts w:ascii="Times New Roman" w:hAnsi="Times New Roman"/>
                <w:szCs w:val="21"/>
              </w:rPr>
            </w:pPr>
            <w:r>
              <w:rPr>
                <w:rFonts w:hint="eastAsia" w:ascii="Times New Roman" w:hAnsi="Times New Roman"/>
                <w:szCs w:val="21"/>
              </w:rPr>
              <w:t>唐艋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审核负责人</w:t>
            </w:r>
          </w:p>
        </w:tc>
        <w:tc>
          <w:tcPr>
            <w:tcW w:w="7245" w:type="dxa"/>
            <w:gridSpan w:val="2"/>
            <w:tcMar>
              <w:top w:w="0" w:type="dxa"/>
              <w:left w:w="57" w:type="dxa"/>
              <w:bottom w:w="0" w:type="dxa"/>
              <w:right w:w="57" w:type="dxa"/>
            </w:tcMar>
            <w:vAlign w:val="center"/>
          </w:tcPr>
          <w:p>
            <w:pPr>
              <w:snapToGrid w:val="0"/>
              <w:spacing w:before="78" w:beforeLines="25" w:line="300" w:lineRule="auto"/>
              <w:rPr>
                <w:rFonts w:hint="eastAsia" w:ascii="Times New Roman" w:hAnsi="Times New Roman" w:eastAsia="宋体"/>
                <w:szCs w:val="21"/>
                <w:lang w:val="en-US" w:eastAsia="zh-CN"/>
              </w:rPr>
            </w:pPr>
            <w:r>
              <w:rPr>
                <w:rFonts w:hint="eastAsia" w:ascii="Times New Roman" w:hAnsi="Times New Roman"/>
                <w:szCs w:val="21"/>
                <w:lang w:val="en-US" w:eastAsia="zh-CN"/>
              </w:rPr>
              <w:t>余传玲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5" w:type="dxa"/>
            <w:vAlign w:val="center"/>
          </w:tcPr>
          <w:p>
            <w:pPr>
              <w:snapToGrid w:val="0"/>
              <w:spacing w:before="78" w:beforeLines="25" w:line="300" w:lineRule="auto"/>
              <w:jc w:val="center"/>
              <w:rPr>
                <w:rFonts w:ascii="Times New Roman" w:hAnsi="Times New Roman"/>
                <w:szCs w:val="21"/>
              </w:rPr>
            </w:pPr>
            <w:r>
              <w:rPr>
                <w:rFonts w:hint="eastAsia" w:ascii="Times New Roman" w:hAnsi="Times New Roman"/>
                <w:szCs w:val="21"/>
              </w:rPr>
              <w:t>审定负责人</w:t>
            </w:r>
          </w:p>
        </w:tc>
        <w:tc>
          <w:tcPr>
            <w:tcW w:w="7245" w:type="dxa"/>
            <w:gridSpan w:val="2"/>
            <w:tcMar>
              <w:top w:w="0" w:type="dxa"/>
              <w:left w:w="57" w:type="dxa"/>
              <w:bottom w:w="0" w:type="dxa"/>
              <w:right w:w="57" w:type="dxa"/>
            </w:tcMar>
            <w:vAlign w:val="center"/>
          </w:tcPr>
          <w:p>
            <w:pPr>
              <w:snapToGrid w:val="0"/>
              <w:spacing w:before="78" w:beforeLines="25" w:line="300" w:lineRule="auto"/>
              <w:rPr>
                <w:rFonts w:hint="eastAsia" w:ascii="Times New Roman" w:hAnsi="Times New Roman" w:eastAsia="宋体"/>
                <w:szCs w:val="21"/>
                <w:lang w:val="en-US" w:eastAsia="zh-CN"/>
              </w:rPr>
            </w:pPr>
            <w:r>
              <w:rPr>
                <w:rFonts w:hint="eastAsia" w:ascii="Times New Roman" w:hAnsi="Times New Roman"/>
                <w:szCs w:val="21"/>
                <w:lang w:val="en-US" w:eastAsia="zh-CN"/>
              </w:rPr>
              <w:t>李大雪</w:t>
            </w:r>
          </w:p>
        </w:tc>
      </w:tr>
    </w:tbl>
    <w:p>
      <w:pPr>
        <w:snapToGrid w:val="0"/>
        <w:spacing w:line="360" w:lineRule="auto"/>
        <w:rPr>
          <w:rFonts w:ascii="Times New Roman" w:hAnsi="Times New Roman" w:eastAsia="黑体"/>
          <w:sz w:val="28"/>
          <w:szCs w:val="28"/>
        </w:rPr>
      </w:pPr>
    </w:p>
    <w:p>
      <w:pPr>
        <w:snapToGrid w:val="0"/>
        <w:spacing w:line="360" w:lineRule="auto"/>
        <w:rPr>
          <w:rFonts w:ascii="Times New Roman" w:hAnsi="Times New Roman" w:eastAsia="黑体"/>
          <w:sz w:val="28"/>
          <w:szCs w:val="28"/>
        </w:rPr>
      </w:pPr>
      <w:r>
        <w:rPr>
          <w:rFonts w:hint="eastAsia" w:ascii="Times New Roman" w:hAnsi="Times New Roman" w:eastAsia="黑体"/>
          <w:sz w:val="28"/>
          <w:szCs w:val="28"/>
        </w:rPr>
        <w:t>二、课程目标与任务</w:t>
      </w:r>
    </w:p>
    <w:p>
      <w:pPr>
        <w:spacing w:line="276" w:lineRule="auto"/>
        <w:ind w:firstLine="420" w:firstLineChars="200"/>
        <w:rPr>
          <w:rFonts w:ascii="Times New Roman" w:hAnsi="Times New Roman"/>
          <w:szCs w:val="21"/>
        </w:rPr>
      </w:pPr>
      <w:r>
        <w:rPr>
          <w:rFonts w:hint="eastAsia" w:ascii="Times New Roman" w:hAnsi="Times New Roman"/>
          <w:szCs w:val="21"/>
        </w:rPr>
        <w:t>本课程是高等学校德语专业高级阶段的一门德语专业课程，授课对象为德语专业三年级学生。本课程以</w:t>
      </w:r>
      <w:r>
        <w:rPr>
          <w:rFonts w:ascii="Times New Roman" w:hAnsi="Times New Roman"/>
          <w:szCs w:val="21"/>
        </w:rPr>
        <w:t>“</w:t>
      </w:r>
      <w:r>
        <w:rPr>
          <w:rFonts w:hint="eastAsia" w:ascii="Times New Roman" w:hAnsi="Times New Roman"/>
          <w:szCs w:val="21"/>
        </w:rPr>
        <w:t>高等学校德语专业德语本科教学大纲</w:t>
      </w:r>
      <w:r>
        <w:rPr>
          <w:rFonts w:ascii="Times New Roman" w:hAnsi="Times New Roman"/>
          <w:szCs w:val="21"/>
        </w:rPr>
        <w:t>”</w:t>
      </w:r>
      <w:r>
        <w:rPr>
          <w:rFonts w:hint="eastAsia" w:ascii="Times New Roman" w:hAnsi="Times New Roman"/>
          <w:szCs w:val="21"/>
        </w:rPr>
        <w:t>所规定的培养目标和教学原则为依据。通过本课程的学习，要求学生通过学习了解德国的历史、地理、社会、经济、教育、宗教等方面的情况及其文化传统，丰富文化修养，加深对德语语言和文化的理解，提高分析和批判能力；掌握德国历史和现状及其相关研究的基本知识，并提高对社会科学书籍的阅读能力和德语语言水平。培养学生的国际视野、家国情怀和批判性思维，使其具备“中国心、国际眼、全球脑”，在世界舞台上传播中国声音、讲好中国故事、发扬中国精神。</w:t>
      </w:r>
    </w:p>
    <w:p>
      <w:pPr>
        <w:snapToGrid w:val="0"/>
        <w:spacing w:before="156" w:beforeLines="50" w:line="360" w:lineRule="auto"/>
        <w:rPr>
          <w:rFonts w:ascii="Times New Roman" w:hAnsi="Times New Roman" w:eastAsia="黑体"/>
          <w:sz w:val="28"/>
          <w:szCs w:val="28"/>
        </w:rPr>
      </w:pPr>
      <w:r>
        <w:rPr>
          <w:rFonts w:hint="eastAsia" w:ascii="Times New Roman" w:hAnsi="Times New Roman" w:eastAsia="黑体"/>
          <w:sz w:val="28"/>
          <w:szCs w:val="28"/>
        </w:rPr>
        <w:t>三、课程主要内容、要求及学时分配</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5"/>
        <w:gridCol w:w="3402"/>
        <w:gridCol w:w="3544"/>
        <w:gridCol w:w="9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675" w:type="dxa"/>
          </w:tcPr>
          <w:p>
            <w:pPr>
              <w:snapToGrid w:val="0"/>
              <w:spacing w:before="78" w:beforeLines="25"/>
              <w:rPr>
                <w:rFonts w:ascii="Times New Roman" w:hAnsi="Times New Roman"/>
                <w:szCs w:val="21"/>
              </w:rPr>
            </w:pPr>
            <w:r>
              <w:rPr>
                <w:rFonts w:hint="eastAsia" w:ascii="Times New Roman" w:hAnsi="Times New Roman"/>
                <w:szCs w:val="21"/>
              </w:rPr>
              <w:t>序号</w:t>
            </w:r>
          </w:p>
        </w:tc>
        <w:tc>
          <w:tcPr>
            <w:tcW w:w="3402" w:type="dxa"/>
          </w:tcPr>
          <w:p>
            <w:pPr>
              <w:snapToGrid w:val="0"/>
              <w:spacing w:before="78" w:beforeLines="25"/>
              <w:rPr>
                <w:rFonts w:ascii="Times New Roman" w:hAnsi="Times New Roman"/>
                <w:sz w:val="24"/>
                <w:szCs w:val="24"/>
              </w:rPr>
            </w:pPr>
            <w:r>
              <w:rPr>
                <w:rFonts w:ascii="Times New Roman" w:hAnsi="Times New Roman"/>
                <w:sz w:val="24"/>
                <w:szCs w:val="24"/>
              </w:rPr>
              <w:t>主要内容</w:t>
            </w:r>
          </w:p>
        </w:tc>
        <w:tc>
          <w:tcPr>
            <w:tcW w:w="3544" w:type="dxa"/>
          </w:tcPr>
          <w:p>
            <w:pPr>
              <w:snapToGrid w:val="0"/>
              <w:spacing w:before="78" w:beforeLines="25"/>
              <w:rPr>
                <w:rFonts w:ascii="Times New Roman" w:hAnsi="Times New Roman"/>
                <w:szCs w:val="21"/>
              </w:rPr>
            </w:pPr>
            <w:r>
              <w:rPr>
                <w:rFonts w:hint="eastAsia" w:ascii="Times New Roman" w:hAnsi="Times New Roman"/>
                <w:szCs w:val="21"/>
              </w:rPr>
              <w:t>基本要求</w:t>
            </w:r>
          </w:p>
        </w:tc>
        <w:tc>
          <w:tcPr>
            <w:tcW w:w="901" w:type="dxa"/>
          </w:tcPr>
          <w:p>
            <w:pPr>
              <w:snapToGrid w:val="0"/>
              <w:spacing w:before="78" w:beforeLines="25"/>
              <w:rPr>
                <w:rFonts w:ascii="Times New Roman" w:hAnsi="Times New Roman"/>
                <w:szCs w:val="21"/>
              </w:rPr>
            </w:pPr>
            <w:r>
              <w:rPr>
                <w:rFonts w:hint="eastAsia" w:ascii="Times New Roman" w:hAnsi="Times New Roman"/>
                <w:szCs w:val="21"/>
              </w:rPr>
              <w:t>学时分配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snapToGrid w:val="0"/>
              <w:spacing w:before="78" w:beforeLines="25"/>
              <w:ind w:firstLine="105" w:firstLineChars="50"/>
              <w:rPr>
                <w:rFonts w:ascii="Times New Roman" w:hAnsi="Times New Roman"/>
                <w:szCs w:val="21"/>
              </w:rPr>
            </w:pPr>
            <w:r>
              <w:rPr>
                <w:rFonts w:ascii="Times New Roman" w:hAnsi="Times New Roman"/>
                <w:szCs w:val="21"/>
              </w:rPr>
              <w:t>1</w:t>
            </w:r>
          </w:p>
        </w:tc>
        <w:tc>
          <w:tcPr>
            <w:tcW w:w="3402" w:type="dxa"/>
          </w:tcPr>
          <w:p>
            <w:pPr>
              <w:rPr>
                <w:rFonts w:ascii="Times New Roman" w:hAnsi="Times New Roman"/>
                <w:sz w:val="24"/>
                <w:szCs w:val="24"/>
                <w:lang w:val="de-DE"/>
              </w:rPr>
            </w:pPr>
            <w:r>
              <w:rPr>
                <w:rFonts w:ascii="Times New Roman" w:hAnsi="Times New Roman"/>
                <w:sz w:val="24"/>
                <w:szCs w:val="24"/>
                <w:lang w:val="de-DE"/>
              </w:rPr>
              <w:t>Einführung ins Seminar; Der Staatsbau der BRD I</w:t>
            </w:r>
          </w:p>
          <w:p>
            <w:pPr>
              <w:rPr>
                <w:rFonts w:ascii="Times New Roman" w:hAnsi="Times New Roman"/>
                <w:sz w:val="24"/>
                <w:szCs w:val="24"/>
                <w:lang w:val="de-DE"/>
              </w:rPr>
            </w:pPr>
            <w:r>
              <w:rPr>
                <w:rFonts w:ascii="Times New Roman" w:hAnsi="Times New Roman"/>
                <w:sz w:val="24"/>
                <w:szCs w:val="24"/>
                <w:lang w:val="de-DE"/>
              </w:rPr>
              <w:t>Inhalt: Historischer Hintergrund des Grundges</w:t>
            </w:r>
            <w:r>
              <w:rPr>
                <w:rFonts w:hint="eastAsia" w:ascii="Times New Roman" w:hAnsi="Times New Roman"/>
                <w:sz w:val="24"/>
                <w:szCs w:val="24"/>
                <w:lang w:val="de-DE"/>
              </w:rPr>
              <w:t>e</w:t>
            </w:r>
            <w:r>
              <w:rPr>
                <w:rFonts w:ascii="Times New Roman" w:hAnsi="Times New Roman"/>
                <w:sz w:val="24"/>
                <w:szCs w:val="24"/>
                <w:lang w:val="de-DE"/>
              </w:rPr>
              <w:t>tzes, Inhalt des Grundgesetzes</w:t>
            </w:r>
          </w:p>
          <w:p>
            <w:pPr>
              <w:rPr>
                <w:rFonts w:ascii="Times New Roman" w:hAnsi="Times New Roman"/>
                <w:sz w:val="24"/>
                <w:szCs w:val="24"/>
                <w:lang w:val="de-DE"/>
              </w:rPr>
            </w:pPr>
          </w:p>
        </w:tc>
        <w:tc>
          <w:tcPr>
            <w:tcW w:w="3544" w:type="dxa"/>
          </w:tcPr>
          <w:p>
            <w:pPr>
              <w:rPr>
                <w:rFonts w:ascii="Times New Roman" w:hAnsi="Times New Roman"/>
                <w:szCs w:val="21"/>
                <w:lang w:val="de-DE"/>
              </w:rPr>
            </w:pPr>
            <w:r>
              <w:rPr>
                <w:rFonts w:hint="eastAsia" w:ascii="Times New Roman" w:hAnsi="Times New Roman"/>
                <w:szCs w:val="21"/>
                <w:lang w:val="de-DE"/>
              </w:rPr>
              <w:t>了解本课程教学内容、教学手段和方法、考核方式；了解德国宪法的历史背景和基本内容。</w:t>
            </w:r>
          </w:p>
        </w:tc>
        <w:tc>
          <w:tcPr>
            <w:tcW w:w="901" w:type="dxa"/>
          </w:tcPr>
          <w:p>
            <w:pPr>
              <w:snapToGrid w:val="0"/>
              <w:spacing w:before="78" w:beforeLines="25"/>
              <w:rPr>
                <w:rFonts w:ascii="Times New Roman" w:hAnsi="Times New Roman"/>
                <w:szCs w:val="21"/>
              </w:rPr>
            </w:pPr>
            <w:r>
              <w:rPr>
                <w:rFonts w:ascii="Times New Roman" w:hAnsi="Times New Roman"/>
                <w:szCs w:val="21"/>
                <w:lang w:val="de-D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675"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lang w:val="de-DE"/>
              </w:rPr>
              <w:t>2</w:t>
            </w:r>
          </w:p>
        </w:tc>
        <w:tc>
          <w:tcPr>
            <w:tcW w:w="3402" w:type="dxa"/>
          </w:tcPr>
          <w:p>
            <w:pPr>
              <w:rPr>
                <w:rFonts w:ascii="Times New Roman" w:hAnsi="Times New Roman"/>
                <w:sz w:val="24"/>
                <w:szCs w:val="24"/>
                <w:lang w:val="de-DE"/>
              </w:rPr>
            </w:pPr>
            <w:r>
              <w:rPr>
                <w:rFonts w:ascii="Times New Roman" w:hAnsi="Times New Roman"/>
                <w:sz w:val="24"/>
                <w:szCs w:val="24"/>
                <w:lang w:val="de-DE"/>
              </w:rPr>
              <w:t>Der Staatsbau der BRD II</w:t>
            </w:r>
          </w:p>
          <w:p>
            <w:pPr>
              <w:rPr>
                <w:rFonts w:ascii="Times New Roman" w:hAnsi="Times New Roman"/>
                <w:sz w:val="24"/>
                <w:szCs w:val="24"/>
                <w:lang w:val="de-DE"/>
              </w:rPr>
            </w:pPr>
            <w:r>
              <w:rPr>
                <w:rFonts w:ascii="Times New Roman" w:hAnsi="Times New Roman"/>
                <w:sz w:val="24"/>
                <w:szCs w:val="24"/>
                <w:lang w:val="de-DE"/>
              </w:rPr>
              <w:t>Inhalt: G</w:t>
            </w:r>
            <w:r>
              <w:rPr>
                <w:rFonts w:hint="eastAsia" w:ascii="Times New Roman" w:hAnsi="Times New Roman"/>
                <w:sz w:val="24"/>
                <w:szCs w:val="24"/>
                <w:lang w:val="de-DE"/>
              </w:rPr>
              <w:t>r</w:t>
            </w:r>
            <w:r>
              <w:rPr>
                <w:rFonts w:ascii="Times New Roman" w:hAnsi="Times New Roman"/>
                <w:sz w:val="24"/>
                <w:szCs w:val="24"/>
                <w:lang w:val="de-DE"/>
              </w:rPr>
              <w:t>undgedanken des Grundges</w:t>
            </w:r>
            <w:r>
              <w:rPr>
                <w:rFonts w:hint="eastAsia" w:ascii="Times New Roman" w:hAnsi="Times New Roman"/>
                <w:sz w:val="24"/>
                <w:szCs w:val="24"/>
                <w:lang w:val="de-DE"/>
              </w:rPr>
              <w:t>e</w:t>
            </w:r>
            <w:r>
              <w:rPr>
                <w:rFonts w:ascii="Times New Roman" w:hAnsi="Times New Roman"/>
                <w:sz w:val="24"/>
                <w:szCs w:val="24"/>
                <w:lang w:val="de-DE"/>
              </w:rPr>
              <w:t>tzes (Gewaltenteilung, Sozialstaat, Föderalismus, Rechtsstaat</w:t>
            </w:r>
            <w:r>
              <w:rPr>
                <w:rFonts w:hint="eastAsia" w:ascii="Times New Roman" w:hAnsi="Times New Roman"/>
                <w:sz w:val="24"/>
                <w:szCs w:val="24"/>
                <w:lang w:val="de-DE"/>
              </w:rPr>
              <w:t>s</w:t>
            </w:r>
            <w:r>
              <w:rPr>
                <w:rFonts w:ascii="Times New Roman" w:hAnsi="Times New Roman"/>
                <w:sz w:val="24"/>
                <w:szCs w:val="24"/>
                <w:lang w:val="de-DE"/>
              </w:rPr>
              <w:t>prinzip, repräsentative Demokratie)</w:t>
            </w:r>
          </w:p>
        </w:tc>
        <w:tc>
          <w:tcPr>
            <w:tcW w:w="3544" w:type="dxa"/>
          </w:tcPr>
          <w:p>
            <w:pPr>
              <w:rPr>
                <w:rFonts w:ascii="Times New Roman" w:hAnsi="Times New Roman"/>
                <w:szCs w:val="21"/>
                <w:lang w:val="de-DE"/>
              </w:rPr>
            </w:pPr>
            <w:r>
              <w:rPr>
                <w:rFonts w:hint="eastAsia" w:ascii="Times New Roman" w:hAnsi="Times New Roman"/>
                <w:szCs w:val="21"/>
                <w:lang w:val="de-DE"/>
              </w:rPr>
              <w:t>了解当代德国宪法中与德国政治体制有关的重要理念及其内涵。</w:t>
            </w:r>
          </w:p>
        </w:tc>
        <w:tc>
          <w:tcPr>
            <w:tcW w:w="901" w:type="dxa"/>
          </w:tcPr>
          <w:p>
            <w:pPr>
              <w:snapToGrid w:val="0"/>
              <w:spacing w:before="78" w:beforeLines="25"/>
              <w:rPr>
                <w:rFonts w:ascii="Times New Roman" w:hAnsi="Times New Roman"/>
                <w:szCs w:val="21"/>
                <w:lang w:val="de-DE"/>
              </w:rPr>
            </w:pPr>
            <w:r>
              <w:rPr>
                <w:rFonts w:ascii="Times New Roman" w:hAnsi="Times New Roman"/>
                <w:szCs w:val="21"/>
              </w:rPr>
              <w:t xml:space="preserve">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675" w:type="dxa"/>
          </w:tcPr>
          <w:p>
            <w:pPr>
              <w:snapToGrid w:val="0"/>
              <w:spacing w:before="78" w:beforeLines="25"/>
              <w:rPr>
                <w:rFonts w:ascii="Times New Roman" w:hAnsi="Times New Roman"/>
                <w:szCs w:val="21"/>
              </w:rPr>
            </w:pPr>
            <w:r>
              <w:rPr>
                <w:rFonts w:ascii="Times New Roman" w:hAnsi="Times New Roman"/>
                <w:szCs w:val="21"/>
              </w:rPr>
              <w:t xml:space="preserve"> 3</w:t>
            </w:r>
          </w:p>
        </w:tc>
        <w:tc>
          <w:tcPr>
            <w:tcW w:w="3402" w:type="dxa"/>
          </w:tcPr>
          <w:p>
            <w:pPr>
              <w:rPr>
                <w:rFonts w:ascii="Times New Roman" w:hAnsi="Times New Roman"/>
                <w:sz w:val="24"/>
                <w:szCs w:val="24"/>
                <w:lang w:val="de-DE"/>
              </w:rPr>
            </w:pPr>
            <w:r>
              <w:rPr>
                <w:rFonts w:ascii="Times New Roman" w:hAnsi="Times New Roman"/>
                <w:sz w:val="24"/>
                <w:szCs w:val="24"/>
                <w:lang w:val="de-DE"/>
              </w:rPr>
              <w:t>Der Staatsbau der BRD III</w:t>
            </w:r>
          </w:p>
          <w:p>
            <w:pPr>
              <w:rPr>
                <w:rFonts w:ascii="Times New Roman" w:hAnsi="Times New Roman"/>
                <w:sz w:val="24"/>
                <w:szCs w:val="24"/>
                <w:lang w:val="de-DE"/>
              </w:rPr>
            </w:pPr>
            <w:r>
              <w:rPr>
                <w:rFonts w:ascii="Times New Roman" w:hAnsi="Times New Roman"/>
                <w:sz w:val="24"/>
                <w:szCs w:val="24"/>
                <w:lang w:val="de-DE"/>
              </w:rPr>
              <w:t>Inhalt: Vor- und Nachteile des Föderalismus, Wahlsystem in Deutschland</w:t>
            </w:r>
          </w:p>
        </w:tc>
        <w:tc>
          <w:tcPr>
            <w:tcW w:w="3544" w:type="dxa"/>
          </w:tcPr>
          <w:p>
            <w:pPr>
              <w:rPr>
                <w:rFonts w:ascii="Times New Roman" w:hAnsi="Times New Roman"/>
                <w:szCs w:val="21"/>
                <w:lang w:val="de-DE"/>
              </w:rPr>
            </w:pPr>
            <w:r>
              <w:rPr>
                <w:rFonts w:hint="eastAsia" w:ascii="Times New Roman" w:hAnsi="Times New Roman"/>
                <w:szCs w:val="21"/>
                <w:lang w:val="de-DE"/>
              </w:rPr>
              <w:t>了解德国联邦制的优缺点和选举制度，结合所有知识对德国政治制度进行恰当的评价。</w:t>
            </w:r>
            <w:r>
              <w:rPr>
                <w:rFonts w:hint="eastAsia" w:ascii="宋体" w:hAnsi="宋体"/>
                <w:color w:val="000000"/>
                <w:szCs w:val="21"/>
              </w:rPr>
              <w:t>了解中国政治制度运行的特点和优势。</w:t>
            </w:r>
          </w:p>
        </w:tc>
        <w:tc>
          <w:tcPr>
            <w:tcW w:w="901" w:type="dxa"/>
          </w:tcPr>
          <w:p>
            <w:pPr>
              <w:snapToGrid w:val="0"/>
              <w:spacing w:before="78" w:beforeLines="25"/>
              <w:rPr>
                <w:rFonts w:ascii="Times New Roman" w:hAnsi="Times New Roman"/>
                <w:szCs w:val="21"/>
              </w:rPr>
            </w:pPr>
            <w:r>
              <w:rPr>
                <w:rFonts w:ascii="Times New Roman" w:hAnsi="Times New Roman"/>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5" w:type="dxa"/>
          </w:tcPr>
          <w:p>
            <w:pPr>
              <w:snapToGrid w:val="0"/>
              <w:spacing w:before="78" w:beforeLines="25"/>
              <w:ind w:firstLine="105" w:firstLineChars="50"/>
              <w:rPr>
                <w:rFonts w:ascii="Times New Roman" w:hAnsi="Times New Roman"/>
                <w:szCs w:val="21"/>
              </w:rPr>
            </w:pPr>
            <w:r>
              <w:rPr>
                <w:rFonts w:ascii="Times New Roman" w:hAnsi="Times New Roman"/>
                <w:szCs w:val="21"/>
              </w:rPr>
              <w:t>4</w:t>
            </w:r>
          </w:p>
        </w:tc>
        <w:tc>
          <w:tcPr>
            <w:tcW w:w="3402" w:type="dxa"/>
          </w:tcPr>
          <w:p>
            <w:pPr>
              <w:rPr>
                <w:rFonts w:ascii="Times New Roman" w:hAnsi="Times New Roman"/>
                <w:sz w:val="24"/>
                <w:szCs w:val="24"/>
                <w:lang w:val="de-DE"/>
              </w:rPr>
            </w:pPr>
            <w:r>
              <w:rPr>
                <w:rFonts w:ascii="Times New Roman" w:hAnsi="Times New Roman"/>
                <w:sz w:val="24"/>
                <w:szCs w:val="24"/>
                <w:lang w:val="de-DE"/>
              </w:rPr>
              <w:t>Populismus, Linksextremismus und Rechtsextremismus</w:t>
            </w:r>
          </w:p>
          <w:p>
            <w:pPr>
              <w:rPr>
                <w:rFonts w:ascii="Times New Roman" w:hAnsi="Times New Roman"/>
                <w:sz w:val="24"/>
                <w:szCs w:val="24"/>
                <w:lang w:val="de-DE"/>
              </w:rPr>
            </w:pPr>
            <w:r>
              <w:rPr>
                <w:rFonts w:ascii="Times New Roman" w:hAnsi="Times New Roman"/>
                <w:sz w:val="24"/>
                <w:szCs w:val="24"/>
                <w:lang w:val="de-DE"/>
              </w:rPr>
              <w:t>Inhalt: Eigenschaften des Populismus, Unterschiede zwischen Rechtspopuli</w:t>
            </w:r>
            <w:r>
              <w:rPr>
                <w:rFonts w:hint="eastAsia" w:ascii="Times New Roman" w:hAnsi="Times New Roman"/>
                <w:sz w:val="24"/>
                <w:szCs w:val="24"/>
                <w:lang w:val="de-DE"/>
              </w:rPr>
              <w:t>s</w:t>
            </w:r>
            <w:r>
              <w:rPr>
                <w:rFonts w:ascii="Times New Roman" w:hAnsi="Times New Roman"/>
                <w:sz w:val="24"/>
                <w:szCs w:val="24"/>
                <w:lang w:val="de-DE"/>
              </w:rPr>
              <w:t>mus und Linkspopuli</w:t>
            </w:r>
            <w:r>
              <w:rPr>
                <w:rFonts w:hint="eastAsia" w:ascii="Times New Roman" w:hAnsi="Times New Roman"/>
                <w:sz w:val="24"/>
                <w:szCs w:val="24"/>
                <w:lang w:val="de-DE"/>
              </w:rPr>
              <w:t>s</w:t>
            </w:r>
            <w:r>
              <w:rPr>
                <w:rFonts w:ascii="Times New Roman" w:hAnsi="Times New Roman"/>
                <w:sz w:val="24"/>
                <w:szCs w:val="24"/>
                <w:lang w:val="de-DE"/>
              </w:rPr>
              <w:t>mus, die politische Ansprüche der links- und rechtsextremistischen Parteien in Deutschland</w:t>
            </w:r>
            <w:r>
              <w:rPr>
                <w:rFonts w:hint="eastAsia" w:ascii="Times New Roman" w:hAnsi="Times New Roman"/>
                <w:sz w:val="24"/>
                <w:szCs w:val="24"/>
                <w:lang w:val="de-DE"/>
              </w:rPr>
              <w:t>, Analyse des AfD-Wahlprogramms</w:t>
            </w:r>
          </w:p>
        </w:tc>
        <w:tc>
          <w:tcPr>
            <w:tcW w:w="3544" w:type="dxa"/>
          </w:tcPr>
          <w:p>
            <w:pPr>
              <w:rPr>
                <w:rFonts w:ascii="Times New Roman" w:hAnsi="Times New Roman"/>
                <w:szCs w:val="21"/>
                <w:lang w:val="de-DE"/>
              </w:rPr>
            </w:pPr>
            <w:r>
              <w:rPr>
                <w:rFonts w:hint="eastAsia" w:ascii="Times New Roman" w:hAnsi="Times New Roman"/>
                <w:szCs w:val="21"/>
                <w:lang w:val="de-DE"/>
              </w:rPr>
              <w:t>了解联邦德国民粹主义的特征，对德国选择党的政治纲领进行分析；了解德国左翼极端主义和右翼极端主义代表组织，其重要特征和政治诉求。对比中国的情况，</w:t>
            </w:r>
            <w:r>
              <w:rPr>
                <w:rFonts w:hint="eastAsia" w:ascii="宋体" w:hAnsi="宋体"/>
                <w:color w:val="000000"/>
                <w:szCs w:val="21"/>
              </w:rPr>
              <w:t>促进学生对中国文化的认同与文化自信，树立正确的人生观与价值观。</w:t>
            </w:r>
          </w:p>
        </w:tc>
        <w:tc>
          <w:tcPr>
            <w:tcW w:w="901"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snapToGrid w:val="0"/>
              <w:spacing w:before="78" w:beforeLines="25"/>
              <w:ind w:firstLine="105" w:firstLineChars="50"/>
              <w:rPr>
                <w:rFonts w:ascii="Times New Roman" w:hAnsi="Times New Roman"/>
                <w:szCs w:val="21"/>
              </w:rPr>
            </w:pPr>
            <w:r>
              <w:rPr>
                <w:rFonts w:ascii="Times New Roman" w:hAnsi="Times New Roman"/>
                <w:szCs w:val="21"/>
              </w:rPr>
              <w:t>5</w:t>
            </w:r>
          </w:p>
        </w:tc>
        <w:tc>
          <w:tcPr>
            <w:tcW w:w="3402" w:type="dxa"/>
          </w:tcPr>
          <w:p>
            <w:pPr>
              <w:rPr>
                <w:rFonts w:ascii="Times New Roman" w:hAnsi="Times New Roman"/>
                <w:sz w:val="24"/>
                <w:szCs w:val="24"/>
                <w:lang w:val="de-DE"/>
              </w:rPr>
            </w:pPr>
            <w:r>
              <w:rPr>
                <w:rFonts w:ascii="Times New Roman" w:hAnsi="Times New Roman"/>
                <w:sz w:val="24"/>
                <w:szCs w:val="24"/>
                <w:lang w:val="de-DE"/>
              </w:rPr>
              <w:t>Die Wirtschaft der BRD</w:t>
            </w:r>
          </w:p>
          <w:p>
            <w:pPr>
              <w:rPr>
                <w:rFonts w:ascii="Times New Roman" w:hAnsi="Times New Roman"/>
                <w:sz w:val="24"/>
                <w:szCs w:val="24"/>
                <w:lang w:val="de-DE"/>
              </w:rPr>
            </w:pPr>
            <w:r>
              <w:rPr>
                <w:rFonts w:ascii="Times New Roman" w:hAnsi="Times New Roman"/>
                <w:sz w:val="24"/>
                <w:szCs w:val="24"/>
                <w:lang w:val="de-DE"/>
              </w:rPr>
              <w:t>Inhalt: Eigenschaften der sozialen Marktwirtschaft und ihrer hi</w:t>
            </w:r>
            <w:r>
              <w:rPr>
                <w:rFonts w:hint="eastAsia" w:ascii="Times New Roman" w:hAnsi="Times New Roman"/>
                <w:sz w:val="24"/>
                <w:szCs w:val="24"/>
                <w:lang w:val="de-DE"/>
              </w:rPr>
              <w:t>s</w:t>
            </w:r>
            <w:r>
              <w:rPr>
                <w:rFonts w:ascii="Times New Roman" w:hAnsi="Times New Roman"/>
                <w:sz w:val="24"/>
                <w:szCs w:val="24"/>
                <w:lang w:val="de-DE"/>
              </w:rPr>
              <w:t>torischer Hintergrund</w:t>
            </w:r>
          </w:p>
        </w:tc>
        <w:tc>
          <w:tcPr>
            <w:tcW w:w="3544" w:type="dxa"/>
          </w:tcPr>
          <w:p>
            <w:pPr>
              <w:rPr>
                <w:rFonts w:ascii="Times New Roman" w:hAnsi="Times New Roman"/>
                <w:szCs w:val="21"/>
                <w:lang w:val="de-DE"/>
              </w:rPr>
            </w:pPr>
            <w:r>
              <w:rPr>
                <w:rFonts w:hint="eastAsia" w:ascii="Times New Roman" w:hAnsi="Times New Roman"/>
                <w:szCs w:val="21"/>
                <w:lang w:val="de-DE"/>
              </w:rPr>
              <w:t>了解联邦德国的经济制度和发展情况，结合世界主要国家的经济制度以及经济形势对其进行恰当的评价。对比中国的情况，</w:t>
            </w:r>
            <w:r>
              <w:rPr>
                <w:rFonts w:hint="eastAsia" w:ascii="宋体" w:hAnsi="宋体"/>
                <w:color w:val="000000"/>
                <w:szCs w:val="21"/>
              </w:rPr>
              <w:t>促进学生对中国文化的认同与文化自信，树立正确的人生观与价值观</w:t>
            </w:r>
          </w:p>
        </w:tc>
        <w:tc>
          <w:tcPr>
            <w:tcW w:w="901" w:type="dxa"/>
          </w:tcPr>
          <w:p>
            <w:pPr>
              <w:snapToGrid w:val="0"/>
              <w:spacing w:before="78" w:beforeLines="25"/>
              <w:ind w:firstLine="105" w:firstLineChars="50"/>
              <w:rPr>
                <w:rFonts w:ascii="Times New Roman" w:hAnsi="Times New Roman"/>
                <w:szCs w:val="21"/>
              </w:rPr>
            </w:pPr>
            <w:r>
              <w:rPr>
                <w:rFonts w:ascii="Times New Roman" w:hAnsi="Times New Roman"/>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lang w:val="de-DE"/>
              </w:rPr>
              <w:t>6</w:t>
            </w:r>
          </w:p>
        </w:tc>
        <w:tc>
          <w:tcPr>
            <w:tcW w:w="3402" w:type="dxa"/>
          </w:tcPr>
          <w:p>
            <w:pPr>
              <w:rPr>
                <w:rFonts w:ascii="Times New Roman" w:hAnsi="Times New Roman"/>
                <w:sz w:val="24"/>
                <w:szCs w:val="24"/>
                <w:lang w:val="de-DE"/>
              </w:rPr>
            </w:pPr>
            <w:r>
              <w:rPr>
                <w:rFonts w:ascii="Times New Roman" w:hAnsi="Times New Roman"/>
                <w:sz w:val="24"/>
                <w:szCs w:val="24"/>
                <w:lang w:val="de-DE"/>
              </w:rPr>
              <w:t>Die Gesellschaft der BRD I</w:t>
            </w:r>
          </w:p>
          <w:p>
            <w:pPr>
              <w:rPr>
                <w:rFonts w:ascii="Times New Roman" w:hAnsi="Times New Roman"/>
                <w:sz w:val="24"/>
                <w:szCs w:val="24"/>
                <w:lang w:val="de-DE"/>
              </w:rPr>
            </w:pPr>
            <w:r>
              <w:rPr>
                <w:rFonts w:ascii="Times New Roman" w:hAnsi="Times New Roman"/>
                <w:sz w:val="24"/>
                <w:szCs w:val="24"/>
                <w:lang w:val="de-DE"/>
              </w:rPr>
              <w:t>Inhalt: demografische Entwicklung, Familienformen und deren Te</w:t>
            </w:r>
            <w:r>
              <w:rPr>
                <w:rFonts w:hint="eastAsia" w:ascii="Times New Roman" w:hAnsi="Times New Roman"/>
                <w:sz w:val="24"/>
                <w:szCs w:val="24"/>
                <w:lang w:val="de-DE"/>
              </w:rPr>
              <w:t>n</w:t>
            </w:r>
            <w:r>
              <w:rPr>
                <w:rFonts w:ascii="Times New Roman" w:hAnsi="Times New Roman"/>
                <w:sz w:val="24"/>
                <w:szCs w:val="24"/>
                <w:lang w:val="de-DE"/>
              </w:rPr>
              <w:t>denzen in Deutschland</w:t>
            </w:r>
          </w:p>
        </w:tc>
        <w:tc>
          <w:tcPr>
            <w:tcW w:w="3544" w:type="dxa"/>
          </w:tcPr>
          <w:p>
            <w:pPr>
              <w:rPr>
                <w:rFonts w:ascii="Times New Roman" w:hAnsi="Times New Roman"/>
                <w:szCs w:val="21"/>
                <w:lang w:val="de-DE"/>
              </w:rPr>
            </w:pPr>
            <w:r>
              <w:rPr>
                <w:rFonts w:hint="eastAsia" w:ascii="Times New Roman" w:hAnsi="Times New Roman"/>
                <w:szCs w:val="21"/>
                <w:lang w:val="de-DE"/>
              </w:rPr>
              <w:t>了解联邦德国人口生态发展趋势、家庭形式的种类和趋势</w:t>
            </w:r>
          </w:p>
        </w:tc>
        <w:tc>
          <w:tcPr>
            <w:tcW w:w="901" w:type="dxa"/>
          </w:tcPr>
          <w:p>
            <w:pPr>
              <w:snapToGrid w:val="0"/>
              <w:spacing w:before="78" w:beforeLines="25"/>
              <w:ind w:firstLine="105" w:firstLineChars="50"/>
              <w:rPr>
                <w:rFonts w:ascii="Times New Roman" w:hAnsi="Times New Roman"/>
                <w:szCs w:val="21"/>
              </w:rPr>
            </w:pPr>
            <w:r>
              <w:rPr>
                <w:rFonts w:ascii="Times New Roman" w:hAnsi="Times New Roman"/>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snapToGrid w:val="0"/>
              <w:spacing w:before="78" w:beforeLines="25"/>
              <w:ind w:firstLine="105" w:firstLineChars="50"/>
              <w:rPr>
                <w:rFonts w:ascii="Times New Roman" w:hAnsi="Times New Roman"/>
                <w:szCs w:val="21"/>
                <w:lang w:val="de-DE"/>
              </w:rPr>
            </w:pPr>
            <w:r>
              <w:rPr>
                <w:rFonts w:hint="eastAsia" w:ascii="Times New Roman" w:hAnsi="Times New Roman"/>
                <w:szCs w:val="21"/>
                <w:lang w:val="de-DE"/>
              </w:rPr>
              <w:t xml:space="preserve">7. </w:t>
            </w:r>
          </w:p>
        </w:tc>
        <w:tc>
          <w:tcPr>
            <w:tcW w:w="3402" w:type="dxa"/>
          </w:tcPr>
          <w:p>
            <w:pPr>
              <w:rPr>
                <w:rFonts w:ascii="Times New Roman" w:hAnsi="Times New Roman"/>
                <w:sz w:val="24"/>
                <w:szCs w:val="24"/>
                <w:lang w:val="de-DE"/>
              </w:rPr>
            </w:pPr>
            <w:r>
              <w:rPr>
                <w:rFonts w:ascii="Times New Roman" w:hAnsi="Times New Roman"/>
                <w:sz w:val="24"/>
                <w:szCs w:val="24"/>
                <w:lang w:val="de-DE"/>
              </w:rPr>
              <w:t>Die Gesellschaft der BRD II</w:t>
            </w:r>
          </w:p>
          <w:p>
            <w:pPr>
              <w:rPr>
                <w:rFonts w:ascii="Times New Roman" w:hAnsi="Times New Roman"/>
                <w:sz w:val="24"/>
                <w:szCs w:val="24"/>
                <w:lang w:val="de-DE"/>
              </w:rPr>
            </w:pPr>
            <w:r>
              <w:rPr>
                <w:rFonts w:ascii="Times New Roman" w:hAnsi="Times New Roman"/>
                <w:sz w:val="24"/>
                <w:szCs w:val="24"/>
                <w:lang w:val="de-DE"/>
              </w:rPr>
              <w:t>Inhalt: Ziel</w:t>
            </w:r>
            <w:r>
              <w:rPr>
                <w:rFonts w:hint="eastAsia" w:ascii="Times New Roman" w:hAnsi="Times New Roman"/>
                <w:sz w:val="24"/>
                <w:szCs w:val="24"/>
                <w:lang w:val="de-DE"/>
              </w:rPr>
              <w:t>, Normen</w:t>
            </w:r>
            <w:r>
              <w:rPr>
                <w:rFonts w:ascii="Times New Roman" w:hAnsi="Times New Roman"/>
                <w:sz w:val="24"/>
                <w:szCs w:val="24"/>
                <w:lang w:val="de-DE"/>
              </w:rPr>
              <w:t xml:space="preserve"> und Instrumente der Sozialpolitik in Deutschland</w:t>
            </w:r>
          </w:p>
        </w:tc>
        <w:tc>
          <w:tcPr>
            <w:tcW w:w="3544" w:type="dxa"/>
          </w:tcPr>
          <w:p>
            <w:pPr>
              <w:rPr>
                <w:rFonts w:ascii="Times New Roman" w:hAnsi="Times New Roman"/>
                <w:szCs w:val="21"/>
                <w:lang w:val="de-DE"/>
              </w:rPr>
            </w:pPr>
            <w:r>
              <w:rPr>
                <w:rFonts w:hint="eastAsia" w:ascii="Times New Roman" w:hAnsi="Times New Roman"/>
                <w:szCs w:val="21"/>
                <w:lang w:val="de-DE"/>
              </w:rPr>
              <w:t>了解联邦德国的社会福利政策的目标、基本规范和工具，综合运用已有的知识和经验对其进行恰当的评价</w:t>
            </w:r>
          </w:p>
        </w:tc>
        <w:tc>
          <w:tcPr>
            <w:tcW w:w="901"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lang w:val="de-DE"/>
              </w:rPr>
              <w:t>8</w:t>
            </w:r>
          </w:p>
        </w:tc>
        <w:tc>
          <w:tcPr>
            <w:tcW w:w="3402" w:type="dxa"/>
          </w:tcPr>
          <w:p>
            <w:pPr>
              <w:rPr>
                <w:rFonts w:ascii="Times New Roman" w:hAnsi="Times New Roman"/>
                <w:sz w:val="24"/>
                <w:szCs w:val="24"/>
                <w:lang w:val="de-DE"/>
              </w:rPr>
            </w:pPr>
            <w:r>
              <w:rPr>
                <w:rFonts w:ascii="Times New Roman" w:hAnsi="Times New Roman"/>
                <w:sz w:val="24"/>
                <w:szCs w:val="24"/>
                <w:lang w:val="de-DE"/>
              </w:rPr>
              <w:t>Die Gesellschaft der BRD III</w:t>
            </w:r>
          </w:p>
          <w:p>
            <w:pPr>
              <w:rPr>
                <w:rFonts w:ascii="Times New Roman" w:hAnsi="Times New Roman"/>
                <w:sz w:val="24"/>
                <w:szCs w:val="24"/>
                <w:lang w:val="de-DE"/>
              </w:rPr>
            </w:pPr>
            <w:r>
              <w:rPr>
                <w:rFonts w:ascii="Times New Roman" w:hAnsi="Times New Roman"/>
                <w:sz w:val="24"/>
                <w:szCs w:val="24"/>
                <w:lang w:val="de-DE"/>
              </w:rPr>
              <w:t xml:space="preserve">Inhalt: Migranten- und Flüchtlingspolitik in Deutschland nach dem </w:t>
            </w:r>
            <w:r>
              <w:rPr>
                <w:rFonts w:hint="eastAsia" w:ascii="Times New Roman" w:hAnsi="Times New Roman"/>
                <w:sz w:val="24"/>
                <w:szCs w:val="24"/>
                <w:lang w:val="de-DE"/>
              </w:rPr>
              <w:t>Z</w:t>
            </w:r>
            <w:r>
              <w:rPr>
                <w:rFonts w:ascii="Times New Roman" w:hAnsi="Times New Roman"/>
                <w:sz w:val="24"/>
                <w:szCs w:val="24"/>
                <w:lang w:val="de-DE"/>
              </w:rPr>
              <w:t>weiten Weltkrieg</w:t>
            </w:r>
          </w:p>
        </w:tc>
        <w:tc>
          <w:tcPr>
            <w:tcW w:w="3544" w:type="dxa"/>
          </w:tcPr>
          <w:p>
            <w:pPr>
              <w:rPr>
                <w:rFonts w:ascii="Times New Roman" w:hAnsi="Times New Roman"/>
                <w:szCs w:val="21"/>
                <w:lang w:val="de-DE"/>
              </w:rPr>
            </w:pPr>
            <w:r>
              <w:rPr>
                <w:rFonts w:hint="eastAsia" w:ascii="Times New Roman" w:hAnsi="Times New Roman"/>
                <w:szCs w:val="21"/>
                <w:lang w:val="de-DE"/>
              </w:rPr>
              <w:t>了解联邦德国二战以后的移民历史和难民政策，综合运用已有的知识和经验对其进行恰当的评价</w:t>
            </w:r>
          </w:p>
        </w:tc>
        <w:tc>
          <w:tcPr>
            <w:tcW w:w="901"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trPr>
        <w:tc>
          <w:tcPr>
            <w:tcW w:w="675"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lang w:val="de-DE"/>
              </w:rPr>
              <w:t>9</w:t>
            </w:r>
          </w:p>
        </w:tc>
        <w:tc>
          <w:tcPr>
            <w:tcW w:w="3402" w:type="dxa"/>
          </w:tcPr>
          <w:p>
            <w:pPr>
              <w:jc w:val="left"/>
              <w:rPr>
                <w:rFonts w:ascii="Times New Roman" w:hAnsi="Times New Roman"/>
                <w:sz w:val="24"/>
                <w:szCs w:val="24"/>
                <w:lang w:val="de-DE"/>
              </w:rPr>
            </w:pPr>
            <w:r>
              <w:rPr>
                <w:rFonts w:ascii="Times New Roman" w:hAnsi="Times New Roman"/>
                <w:sz w:val="24"/>
                <w:szCs w:val="24"/>
                <w:lang w:val="de-DE"/>
              </w:rPr>
              <w:t xml:space="preserve">Die Gesellschaft der BRD </w:t>
            </w:r>
            <w:r>
              <w:rPr>
                <w:rFonts w:ascii="Times New Roman" w:hAnsi="Times New Roman"/>
                <w:sz w:val="24"/>
                <w:szCs w:val="24"/>
                <w:lang w:val="de-DE"/>
              </w:rPr>
              <w:fldChar w:fldCharType="begin"/>
            </w:r>
            <w:r>
              <w:rPr>
                <w:rFonts w:ascii="Times New Roman" w:hAnsi="Times New Roman"/>
                <w:sz w:val="24"/>
                <w:szCs w:val="24"/>
                <w:lang w:val="de-DE"/>
              </w:rPr>
              <w:instrText xml:space="preserve"> = 4 \* ROMAN </w:instrText>
            </w:r>
            <w:r>
              <w:rPr>
                <w:rFonts w:ascii="Times New Roman" w:hAnsi="Times New Roman"/>
                <w:sz w:val="24"/>
                <w:szCs w:val="24"/>
                <w:lang w:val="de-DE"/>
              </w:rPr>
              <w:fldChar w:fldCharType="separate"/>
            </w:r>
            <w:r>
              <w:rPr>
                <w:rFonts w:ascii="Times New Roman" w:hAnsi="Times New Roman"/>
                <w:sz w:val="24"/>
                <w:szCs w:val="24"/>
                <w:lang w:val="de-DE"/>
              </w:rPr>
              <w:t>IV</w:t>
            </w:r>
            <w:r>
              <w:rPr>
                <w:rFonts w:ascii="Times New Roman" w:hAnsi="Times New Roman"/>
                <w:sz w:val="24"/>
                <w:szCs w:val="24"/>
                <w:lang w:val="de-DE"/>
              </w:rPr>
              <w:fldChar w:fldCharType="end"/>
            </w:r>
          </w:p>
          <w:p>
            <w:pPr>
              <w:jc w:val="left"/>
              <w:rPr>
                <w:rFonts w:ascii="Times New Roman" w:hAnsi="Times New Roman"/>
                <w:sz w:val="24"/>
                <w:szCs w:val="24"/>
                <w:lang w:val="de-DE"/>
              </w:rPr>
            </w:pPr>
            <w:r>
              <w:rPr>
                <w:rFonts w:ascii="Times New Roman" w:hAnsi="Times New Roman"/>
                <w:sz w:val="24"/>
                <w:szCs w:val="24"/>
                <w:lang w:val="de-DE"/>
              </w:rPr>
              <w:t>Inhalt: das Konzept „Integration“ und Integrationspolitik in Deutschland</w:t>
            </w:r>
          </w:p>
        </w:tc>
        <w:tc>
          <w:tcPr>
            <w:tcW w:w="3544" w:type="dxa"/>
          </w:tcPr>
          <w:p>
            <w:pPr>
              <w:rPr>
                <w:rFonts w:hint="eastAsia" w:ascii="Times New Roman" w:hAnsi="Times New Roman"/>
                <w:szCs w:val="21"/>
                <w:lang w:val="de-DE" w:eastAsia="zh-CN"/>
              </w:rPr>
            </w:pPr>
            <w:r>
              <w:rPr>
                <w:rFonts w:hint="eastAsia" w:ascii="Times New Roman" w:hAnsi="Times New Roman"/>
                <w:szCs w:val="21"/>
                <w:lang w:val="de-DE"/>
              </w:rPr>
              <w:t>了解移民融入概念和德国移民融入政策，能够运用已有知识对融入政策进行归类</w:t>
            </w:r>
            <w:r>
              <w:rPr>
                <w:rFonts w:hint="eastAsia" w:ascii="Times New Roman" w:hAnsi="Times New Roman"/>
                <w:szCs w:val="21"/>
                <w:lang w:val="de-DE" w:eastAsia="zh-CN"/>
              </w:rPr>
              <w:t>。</w:t>
            </w:r>
          </w:p>
          <w:p>
            <w:pPr>
              <w:rPr>
                <w:rFonts w:hint="default" w:ascii="Times New Roman" w:hAnsi="Times New Roman"/>
                <w:szCs w:val="21"/>
                <w:lang w:val="en-US" w:eastAsia="zh-CN"/>
              </w:rPr>
            </w:pPr>
            <w:r>
              <w:rPr>
                <w:rFonts w:hint="eastAsia" w:ascii="Times New Roman" w:hAnsi="Times New Roman"/>
                <w:szCs w:val="21"/>
                <w:lang w:val="en-US" w:eastAsia="zh-CN"/>
              </w:rPr>
              <w:t>对德国移民融入政策进行调研与报告。</w:t>
            </w:r>
          </w:p>
        </w:tc>
        <w:tc>
          <w:tcPr>
            <w:tcW w:w="901"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rPr>
              <w:t>2</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lang w:val="de-DE"/>
              </w:rPr>
              <w:t>10</w:t>
            </w:r>
          </w:p>
        </w:tc>
        <w:tc>
          <w:tcPr>
            <w:tcW w:w="3402" w:type="dxa"/>
          </w:tcPr>
          <w:p>
            <w:pPr>
              <w:rPr>
                <w:rFonts w:ascii="Times New Roman" w:hAnsi="Times New Roman"/>
                <w:sz w:val="24"/>
                <w:szCs w:val="24"/>
                <w:lang w:val="de-DE"/>
              </w:rPr>
            </w:pPr>
            <w:r>
              <w:rPr>
                <w:rFonts w:ascii="Times New Roman" w:hAnsi="Times New Roman"/>
                <w:sz w:val="24"/>
                <w:szCs w:val="24"/>
                <w:lang w:val="de-DE"/>
              </w:rPr>
              <w:t xml:space="preserve">Die Gesellschaft der BRD </w:t>
            </w:r>
            <w:r>
              <w:rPr>
                <w:rFonts w:ascii="Times New Roman" w:hAnsi="Times New Roman"/>
                <w:sz w:val="24"/>
                <w:szCs w:val="24"/>
                <w:lang w:val="de-DE"/>
              </w:rPr>
              <w:fldChar w:fldCharType="begin"/>
            </w:r>
            <w:r>
              <w:rPr>
                <w:rFonts w:ascii="Times New Roman" w:hAnsi="Times New Roman"/>
                <w:sz w:val="24"/>
                <w:szCs w:val="24"/>
                <w:lang w:val="de-DE"/>
              </w:rPr>
              <w:instrText xml:space="preserve"> = 4 \* ROMAN </w:instrText>
            </w:r>
            <w:r>
              <w:rPr>
                <w:rFonts w:ascii="Times New Roman" w:hAnsi="Times New Roman"/>
                <w:sz w:val="24"/>
                <w:szCs w:val="24"/>
                <w:lang w:val="de-DE"/>
              </w:rPr>
              <w:fldChar w:fldCharType="separate"/>
            </w:r>
            <w:r>
              <w:rPr>
                <w:rFonts w:ascii="Times New Roman" w:hAnsi="Times New Roman"/>
                <w:sz w:val="24"/>
                <w:szCs w:val="24"/>
                <w:lang w:val="de-DE"/>
              </w:rPr>
              <w:t>IV</w:t>
            </w:r>
            <w:r>
              <w:rPr>
                <w:rFonts w:ascii="Times New Roman" w:hAnsi="Times New Roman"/>
                <w:sz w:val="24"/>
                <w:szCs w:val="24"/>
                <w:lang w:val="de-DE"/>
              </w:rPr>
              <w:fldChar w:fldCharType="end"/>
            </w:r>
          </w:p>
          <w:p>
            <w:pPr>
              <w:rPr>
                <w:rFonts w:ascii="Times New Roman" w:hAnsi="Times New Roman"/>
                <w:sz w:val="24"/>
                <w:szCs w:val="24"/>
                <w:lang w:val="de-DE"/>
              </w:rPr>
            </w:pPr>
            <w:r>
              <w:rPr>
                <w:rFonts w:ascii="Times New Roman" w:hAnsi="Times New Roman"/>
                <w:sz w:val="24"/>
                <w:szCs w:val="24"/>
                <w:lang w:val="de-DE"/>
              </w:rPr>
              <w:t xml:space="preserve">Inhalt: </w:t>
            </w:r>
            <w:r>
              <w:rPr>
                <w:rFonts w:hint="eastAsia" w:ascii="Times New Roman" w:hAnsi="Times New Roman"/>
                <w:sz w:val="24"/>
                <w:szCs w:val="24"/>
                <w:lang w:val="de-DE"/>
              </w:rPr>
              <w:t>Geschlechtsg</w:t>
            </w:r>
            <w:r>
              <w:rPr>
                <w:rFonts w:ascii="Times New Roman" w:hAnsi="Times New Roman"/>
                <w:sz w:val="24"/>
                <w:szCs w:val="24"/>
                <w:lang w:val="de-DE"/>
              </w:rPr>
              <w:t xml:space="preserve">leichberechtigung in Deutschland, </w:t>
            </w:r>
            <w:r>
              <w:rPr>
                <w:rFonts w:hint="eastAsia" w:ascii="Times New Roman" w:hAnsi="Times New Roman"/>
                <w:sz w:val="24"/>
                <w:szCs w:val="24"/>
                <w:lang w:val="de-DE"/>
              </w:rPr>
              <w:t xml:space="preserve">Analyse der </w:t>
            </w:r>
            <w:r>
              <w:rPr>
                <w:rFonts w:ascii="Times New Roman" w:hAnsi="Times New Roman"/>
                <w:sz w:val="24"/>
                <w:szCs w:val="24"/>
                <w:lang w:val="de-DE"/>
              </w:rPr>
              <w:t>Frauenbilder in den deutschen Werbungen</w:t>
            </w:r>
          </w:p>
        </w:tc>
        <w:tc>
          <w:tcPr>
            <w:tcW w:w="3544" w:type="dxa"/>
          </w:tcPr>
          <w:p>
            <w:pPr>
              <w:rPr>
                <w:rFonts w:hint="eastAsia" w:ascii="Times New Roman" w:hAnsi="Times New Roman"/>
                <w:szCs w:val="21"/>
                <w:lang w:val="de-DE"/>
              </w:rPr>
            </w:pPr>
            <w:r>
              <w:rPr>
                <w:rFonts w:hint="eastAsia" w:ascii="Times New Roman" w:hAnsi="Times New Roman"/>
                <w:szCs w:val="21"/>
                <w:lang w:val="de-DE"/>
              </w:rPr>
              <w:t>了解联邦德国性别平等状况和历史发展，能够结合广告简要分析不同历史时期的德国女性形象</w:t>
            </w:r>
          </w:p>
          <w:p>
            <w:pPr>
              <w:rPr>
                <w:rFonts w:hint="default" w:ascii="Times New Roman" w:hAnsi="Times New Roman" w:eastAsia="宋体"/>
                <w:szCs w:val="21"/>
                <w:lang w:val="en-US" w:eastAsia="zh-CN"/>
              </w:rPr>
            </w:pPr>
            <w:r>
              <w:rPr>
                <w:rFonts w:hint="eastAsia" w:ascii="Times New Roman" w:hAnsi="Times New Roman"/>
                <w:szCs w:val="21"/>
                <w:lang w:val="en-US" w:eastAsia="zh-CN"/>
              </w:rPr>
              <w:t>对不同历史时期的德国女性形象进行分析。</w:t>
            </w:r>
          </w:p>
        </w:tc>
        <w:tc>
          <w:tcPr>
            <w:tcW w:w="901" w:type="dxa"/>
          </w:tcPr>
          <w:p>
            <w:pPr>
              <w:snapToGrid w:val="0"/>
              <w:spacing w:before="78" w:beforeLines="25"/>
              <w:rPr>
                <w:rFonts w:ascii="Times New Roman" w:hAnsi="Times New Roman"/>
                <w:szCs w:val="21"/>
                <w:lang w:val="de-DE"/>
              </w:rPr>
            </w:pPr>
            <w:r>
              <w:rPr>
                <w:rFonts w:ascii="Times New Roman" w:hAnsi="Times New Roman"/>
                <w:szCs w:val="21"/>
              </w:rPr>
              <w:t>4</w:t>
            </w:r>
            <w:r>
              <w:rPr>
                <w:rFonts w:hint="eastAsia" w:ascii="宋体" w:hAnsi="宋体"/>
                <w:szCs w:val="21"/>
                <w:lang w:val="de-DE"/>
              </w:rPr>
              <w:t>（其中实践1学时）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675"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lang w:val="de-DE"/>
              </w:rPr>
              <w:t>11</w:t>
            </w:r>
          </w:p>
        </w:tc>
        <w:tc>
          <w:tcPr>
            <w:tcW w:w="3402" w:type="dxa"/>
          </w:tcPr>
          <w:p>
            <w:pPr>
              <w:rPr>
                <w:rFonts w:ascii="Times New Roman" w:hAnsi="Times New Roman"/>
                <w:sz w:val="24"/>
                <w:szCs w:val="24"/>
                <w:lang w:val="de-DE"/>
              </w:rPr>
            </w:pPr>
            <w:r>
              <w:rPr>
                <w:rFonts w:ascii="Times New Roman" w:hAnsi="Times New Roman"/>
                <w:sz w:val="24"/>
                <w:szCs w:val="24"/>
                <w:lang w:val="de-DE"/>
              </w:rPr>
              <w:t>Kultur der BRD I</w:t>
            </w:r>
          </w:p>
          <w:p>
            <w:pPr>
              <w:rPr>
                <w:rFonts w:ascii="Times New Roman" w:hAnsi="Times New Roman"/>
                <w:sz w:val="24"/>
                <w:szCs w:val="24"/>
                <w:lang w:val="de-DE"/>
              </w:rPr>
            </w:pPr>
            <w:r>
              <w:rPr>
                <w:rFonts w:ascii="Times New Roman" w:hAnsi="Times New Roman"/>
                <w:sz w:val="24"/>
                <w:szCs w:val="24"/>
                <w:lang w:val="de-DE"/>
              </w:rPr>
              <w:t>Inhalt: Konzept „Kultur“, Kulturstandards und Kulturdimensionen</w:t>
            </w:r>
          </w:p>
        </w:tc>
        <w:tc>
          <w:tcPr>
            <w:tcW w:w="3544" w:type="dxa"/>
          </w:tcPr>
          <w:p>
            <w:pPr>
              <w:rPr>
                <w:rFonts w:ascii="Times New Roman" w:hAnsi="Times New Roman"/>
                <w:szCs w:val="21"/>
                <w:lang w:val="de-DE"/>
              </w:rPr>
            </w:pPr>
            <w:r>
              <w:rPr>
                <w:rFonts w:hint="eastAsia" w:ascii="Times New Roman" w:hAnsi="Times New Roman"/>
                <w:szCs w:val="21"/>
                <w:lang w:val="de-DE"/>
              </w:rPr>
              <w:t>了解文化、文化标准和文化维度的基本含义，能够对这些概念进行辩证思考和分析。</w:t>
            </w:r>
          </w:p>
        </w:tc>
        <w:tc>
          <w:tcPr>
            <w:tcW w:w="901"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1" w:hRule="atLeast"/>
        </w:trPr>
        <w:tc>
          <w:tcPr>
            <w:tcW w:w="675"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lang w:val="de-DE"/>
              </w:rPr>
              <w:t>12</w:t>
            </w:r>
          </w:p>
        </w:tc>
        <w:tc>
          <w:tcPr>
            <w:tcW w:w="3402" w:type="dxa"/>
          </w:tcPr>
          <w:p>
            <w:pPr>
              <w:rPr>
                <w:rFonts w:ascii="Times New Roman" w:hAnsi="Times New Roman"/>
                <w:sz w:val="24"/>
                <w:szCs w:val="24"/>
                <w:lang w:val="de-DE"/>
              </w:rPr>
            </w:pPr>
            <w:r>
              <w:rPr>
                <w:rFonts w:ascii="Times New Roman" w:hAnsi="Times New Roman"/>
                <w:sz w:val="24"/>
                <w:szCs w:val="24"/>
                <w:lang w:val="de-DE"/>
              </w:rPr>
              <w:t>Kultur der BRD I</w:t>
            </w:r>
          </w:p>
          <w:p>
            <w:pPr>
              <w:rPr>
                <w:rFonts w:ascii="Times New Roman" w:hAnsi="Times New Roman"/>
                <w:sz w:val="24"/>
                <w:szCs w:val="24"/>
                <w:lang w:val="de-DE"/>
              </w:rPr>
            </w:pPr>
            <w:r>
              <w:rPr>
                <w:rFonts w:ascii="Times New Roman" w:hAnsi="Times New Roman"/>
                <w:sz w:val="24"/>
                <w:szCs w:val="24"/>
                <w:lang w:val="de-DE"/>
              </w:rPr>
              <w:t>Inhalt: chinesische und deutsche Kulturdimensionen bzw. Kulturstandards, Fallanalyse</w:t>
            </w:r>
          </w:p>
        </w:tc>
        <w:tc>
          <w:tcPr>
            <w:tcW w:w="3544" w:type="dxa"/>
          </w:tcPr>
          <w:p>
            <w:pPr>
              <w:rPr>
                <w:rFonts w:ascii="Times New Roman" w:hAnsi="Times New Roman"/>
                <w:szCs w:val="21"/>
                <w:lang w:val="de-DE"/>
              </w:rPr>
            </w:pPr>
            <w:r>
              <w:rPr>
                <w:rFonts w:hint="eastAsia" w:ascii="Times New Roman" w:hAnsi="Times New Roman"/>
                <w:szCs w:val="21"/>
                <w:lang w:val="de-DE"/>
              </w:rPr>
              <w:t>了解中、德文化标准和文化维度，能够对视频中的案例进行分析。</w:t>
            </w:r>
            <w:r>
              <w:rPr>
                <w:rFonts w:hint="eastAsia" w:ascii="宋体" w:hAnsi="宋体"/>
                <w:color w:val="000000"/>
                <w:szCs w:val="21"/>
              </w:rPr>
              <w:t>促进学生对中国文化的认同与文化自信，树立正确的人生观与价值观</w:t>
            </w:r>
          </w:p>
        </w:tc>
        <w:tc>
          <w:tcPr>
            <w:tcW w:w="901"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lang w:val="de-DE"/>
              </w:rPr>
              <w:t>13</w:t>
            </w:r>
          </w:p>
        </w:tc>
        <w:tc>
          <w:tcPr>
            <w:tcW w:w="3402" w:type="dxa"/>
          </w:tcPr>
          <w:p>
            <w:pPr>
              <w:rPr>
                <w:rFonts w:ascii="Times New Roman" w:hAnsi="Times New Roman"/>
                <w:sz w:val="24"/>
                <w:szCs w:val="24"/>
                <w:lang w:val="de-DE"/>
              </w:rPr>
            </w:pPr>
            <w:r>
              <w:rPr>
                <w:rFonts w:ascii="Times New Roman" w:hAnsi="Times New Roman"/>
                <w:sz w:val="24"/>
                <w:szCs w:val="24"/>
              </w:rPr>
              <w:t>Wiederholung</w:t>
            </w:r>
          </w:p>
        </w:tc>
        <w:tc>
          <w:tcPr>
            <w:tcW w:w="3544" w:type="dxa"/>
          </w:tcPr>
          <w:p>
            <w:pPr>
              <w:rPr>
                <w:rFonts w:ascii="Times New Roman" w:hAnsi="Times New Roman"/>
                <w:szCs w:val="21"/>
                <w:lang w:val="de-DE"/>
              </w:rPr>
            </w:pPr>
            <w:r>
              <w:rPr>
                <w:rFonts w:hint="eastAsia" w:ascii="Times New Roman" w:hAnsi="Times New Roman"/>
                <w:szCs w:val="21"/>
                <w:lang w:val="de-DE"/>
              </w:rPr>
              <w:t>对所学内容进行总结，反思</w:t>
            </w:r>
          </w:p>
        </w:tc>
        <w:tc>
          <w:tcPr>
            <w:tcW w:w="901" w:type="dxa"/>
          </w:tcPr>
          <w:p>
            <w:pPr>
              <w:snapToGrid w:val="0"/>
              <w:spacing w:before="78" w:beforeLines="25"/>
              <w:ind w:firstLine="105" w:firstLineChars="50"/>
              <w:rPr>
                <w:rFonts w:ascii="Times New Roman" w:hAnsi="Times New Roman"/>
                <w:szCs w:val="21"/>
                <w:lang w:val="de-DE"/>
              </w:rPr>
            </w:pPr>
            <w:r>
              <w:rPr>
                <w:rFonts w:ascii="Times New Roman" w:hAnsi="Times New Roman"/>
                <w:szCs w:val="21"/>
              </w:rPr>
              <w:t>2</w:t>
            </w:r>
          </w:p>
        </w:tc>
      </w:tr>
    </w:tbl>
    <w:p>
      <w:pPr>
        <w:snapToGrid w:val="0"/>
        <w:spacing w:before="156" w:beforeLines="50" w:line="360" w:lineRule="auto"/>
        <w:rPr>
          <w:rFonts w:ascii="Times New Roman" w:hAnsi="Times New Roman" w:eastAsia="黑体"/>
          <w:sz w:val="28"/>
          <w:szCs w:val="28"/>
        </w:rPr>
      </w:pPr>
      <w:r>
        <w:rPr>
          <w:rFonts w:hint="eastAsia" w:ascii="Times New Roman" w:hAnsi="Times New Roman" w:eastAsia="黑体"/>
          <w:sz w:val="28"/>
          <w:szCs w:val="28"/>
        </w:rPr>
        <w:t>四、主要教学方法与手段</w:t>
      </w:r>
    </w:p>
    <w:p>
      <w:pPr>
        <w:spacing w:line="276" w:lineRule="auto"/>
        <w:ind w:firstLine="420" w:firstLineChars="200"/>
        <w:rPr>
          <w:rFonts w:ascii="Times New Roman" w:hAnsi="Times New Roman"/>
        </w:rPr>
      </w:pPr>
      <w:r>
        <w:rPr>
          <w:rFonts w:hint="eastAsia" w:ascii="Times New Roman" w:hAnsi="Times New Roman"/>
        </w:rPr>
        <w:t>正确和先进的教学理念和教学方法及手段是实现课程目标，完成教学任务和要求的必要保证，为此本课程主要运用以下教学方法与手段：</w:t>
      </w:r>
    </w:p>
    <w:p>
      <w:pPr>
        <w:spacing w:line="276" w:lineRule="auto"/>
        <w:ind w:firstLine="420" w:firstLineChars="200"/>
        <w:rPr>
          <w:rFonts w:ascii="Times New Roman" w:hAnsi="Times New Roman"/>
        </w:rPr>
      </w:pPr>
      <w:r>
        <w:rPr>
          <w:rFonts w:hint="eastAsia" w:ascii="Times New Roman" w:hAnsi="Times New Roman"/>
        </w:rPr>
        <w:t>一、互动式。课程将淡化以教师为中心的教学模式，探索教师与学生在课堂上互动的授课方式。坚持以学生为主体，教师为主导的教学方法。</w:t>
      </w:r>
    </w:p>
    <w:p>
      <w:pPr>
        <w:spacing w:line="276" w:lineRule="auto"/>
        <w:ind w:firstLine="420" w:firstLineChars="200"/>
        <w:rPr>
          <w:rFonts w:ascii="Times New Roman" w:hAnsi="Times New Roman"/>
        </w:rPr>
      </w:pPr>
      <w:r>
        <w:rPr>
          <w:rFonts w:hint="eastAsia" w:ascii="Times New Roman" w:hAnsi="Times New Roman"/>
        </w:rPr>
        <w:t>二、启发式。根据高等院校学生的特点，启发学生独立思考，质疑问难，做到既传授理论和知识又指导方法，提高理解和分析语言现象的能力。</w:t>
      </w:r>
    </w:p>
    <w:p>
      <w:pPr>
        <w:spacing w:line="276" w:lineRule="auto"/>
        <w:ind w:firstLine="420" w:firstLineChars="200"/>
        <w:rPr>
          <w:rFonts w:ascii="Times New Roman" w:hAnsi="Times New Roman"/>
        </w:rPr>
      </w:pPr>
      <w:r>
        <w:rPr>
          <w:rFonts w:hint="eastAsia" w:ascii="Times New Roman" w:hAnsi="Times New Roman"/>
        </w:rPr>
        <w:t>三、讨论式。鼓励学生进行探究式学习，教师在课上要有意识的多鼓励学生质疑，师生可以共同质疑，通过讨论最终解疑，同类问题还可以举一反三，以求更好的效果。</w:t>
      </w:r>
    </w:p>
    <w:p>
      <w:pPr>
        <w:spacing w:line="276" w:lineRule="auto"/>
        <w:ind w:firstLine="420" w:firstLineChars="200"/>
        <w:rPr>
          <w:rFonts w:ascii="Times New Roman" w:hAnsi="Times New Roman"/>
        </w:rPr>
      </w:pPr>
      <w:r>
        <w:rPr>
          <w:rFonts w:hint="eastAsia" w:ascii="Times New Roman" w:hAnsi="Times New Roman"/>
        </w:rPr>
        <w:t>四、自主式。根据教学的进度和教学内容的要求，学生可以进行自主式学习，以每个单元的主题为目标，鼓励学生通过互联网，检索并选择与课文题材相关的文章进行延伸阅读，扩充词汇量和文化知识面，提高语言实际运用能力，同时培养学生自主查阅各种信息资源的能力，引导学生积极主动地利用图书资料和网络资源主动地获取信息和处理信息。</w:t>
      </w:r>
    </w:p>
    <w:p>
      <w:pPr>
        <w:spacing w:line="276" w:lineRule="auto"/>
        <w:ind w:firstLine="420" w:firstLineChars="200"/>
        <w:rPr>
          <w:rFonts w:ascii="Times New Roman" w:hAnsi="Times New Roman"/>
        </w:rPr>
      </w:pPr>
      <w:r>
        <w:rPr>
          <w:rFonts w:hint="eastAsia" w:ascii="Times New Roman" w:hAnsi="Times New Roman"/>
        </w:rPr>
        <w:t>五、理论联系实际。教学中应该注重运用语言规律指导学生的语言实践，帮助学生解决语言中的实际问题，除了课上多运用理论联系实际进行教学外，还需要让学生多做练习，在练习中应该注意体现巩固性、启发性、综合性等特点。</w:t>
      </w:r>
    </w:p>
    <w:p>
      <w:pPr>
        <w:spacing w:line="360" w:lineRule="auto"/>
        <w:ind w:firstLine="420" w:firstLineChars="200"/>
        <w:rPr>
          <w:rFonts w:ascii="Times New Roman" w:hAnsi="Times New Roman"/>
        </w:rPr>
      </w:pPr>
    </w:p>
    <w:p>
      <w:pPr>
        <w:snapToGrid w:val="0"/>
        <w:spacing w:before="156" w:beforeLines="50" w:line="360" w:lineRule="auto"/>
        <w:rPr>
          <w:rFonts w:ascii="Times New Roman" w:hAnsi="Times New Roman" w:eastAsia="黑体"/>
          <w:sz w:val="28"/>
          <w:szCs w:val="28"/>
        </w:rPr>
      </w:pPr>
      <w:r>
        <w:rPr>
          <w:rFonts w:hint="eastAsia" w:ascii="Times New Roman" w:hAnsi="Times New Roman" w:eastAsia="黑体"/>
          <w:sz w:val="28"/>
          <w:szCs w:val="28"/>
        </w:rPr>
        <w:t>五、课程考核和成绩评定</w:t>
      </w:r>
    </w:p>
    <w:p>
      <w:pPr>
        <w:snapToGrid w:val="0"/>
        <w:spacing w:before="156" w:beforeLines="50" w:line="360" w:lineRule="auto"/>
        <w:rPr>
          <w:rFonts w:ascii="Times New Roman" w:hAnsi="Times New Roman" w:eastAsia="黑体"/>
          <w:sz w:val="28"/>
          <w:szCs w:val="28"/>
        </w:rPr>
      </w:pPr>
      <w:r>
        <w:rPr>
          <w:rFonts w:hint="eastAsia"/>
          <w:lang w:val="de-DE"/>
        </w:rPr>
        <w:t>考核方式：平时成绩（20%）与期末考试（80%）相结合。平时成绩主要包括课堂小报告和考勤及课堂表现三部分，期末考试形式为闭卷笔试。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E52"/>
    <w:rsid w:val="00010BAE"/>
    <w:rsid w:val="00047A9A"/>
    <w:rsid w:val="000A19FA"/>
    <w:rsid w:val="000B429C"/>
    <w:rsid w:val="000C21AC"/>
    <w:rsid w:val="000D32C4"/>
    <w:rsid w:val="000E5851"/>
    <w:rsid w:val="000E6161"/>
    <w:rsid w:val="00103745"/>
    <w:rsid w:val="00103D9A"/>
    <w:rsid w:val="001050C4"/>
    <w:rsid w:val="00113552"/>
    <w:rsid w:val="001360E8"/>
    <w:rsid w:val="00161ACD"/>
    <w:rsid w:val="00167E52"/>
    <w:rsid w:val="001A5A2C"/>
    <w:rsid w:val="001E5C61"/>
    <w:rsid w:val="001E5FD7"/>
    <w:rsid w:val="001F6F40"/>
    <w:rsid w:val="001F7417"/>
    <w:rsid w:val="0020641A"/>
    <w:rsid w:val="00232A84"/>
    <w:rsid w:val="00291FCD"/>
    <w:rsid w:val="0029634C"/>
    <w:rsid w:val="002A4692"/>
    <w:rsid w:val="002A517A"/>
    <w:rsid w:val="002A58CB"/>
    <w:rsid w:val="002B464E"/>
    <w:rsid w:val="002B692D"/>
    <w:rsid w:val="002F1969"/>
    <w:rsid w:val="002F32D9"/>
    <w:rsid w:val="00300BB4"/>
    <w:rsid w:val="00314876"/>
    <w:rsid w:val="00326584"/>
    <w:rsid w:val="00344D9E"/>
    <w:rsid w:val="00345A33"/>
    <w:rsid w:val="00351681"/>
    <w:rsid w:val="0035524B"/>
    <w:rsid w:val="0037659F"/>
    <w:rsid w:val="00397BE5"/>
    <w:rsid w:val="003A2331"/>
    <w:rsid w:val="003A2A53"/>
    <w:rsid w:val="003D6F3C"/>
    <w:rsid w:val="00411B61"/>
    <w:rsid w:val="00414D41"/>
    <w:rsid w:val="0042314D"/>
    <w:rsid w:val="00460ED5"/>
    <w:rsid w:val="00485611"/>
    <w:rsid w:val="004A226D"/>
    <w:rsid w:val="004B72D4"/>
    <w:rsid w:val="004D1264"/>
    <w:rsid w:val="004F32AD"/>
    <w:rsid w:val="004F6000"/>
    <w:rsid w:val="00521DE5"/>
    <w:rsid w:val="00540E9B"/>
    <w:rsid w:val="00545E73"/>
    <w:rsid w:val="00546BF3"/>
    <w:rsid w:val="00585B62"/>
    <w:rsid w:val="005862F8"/>
    <w:rsid w:val="00586AD8"/>
    <w:rsid w:val="005A22B7"/>
    <w:rsid w:val="005C4BD2"/>
    <w:rsid w:val="005D55BC"/>
    <w:rsid w:val="005E6B2B"/>
    <w:rsid w:val="005F1852"/>
    <w:rsid w:val="006157F1"/>
    <w:rsid w:val="006220FA"/>
    <w:rsid w:val="006243F4"/>
    <w:rsid w:val="00627DC0"/>
    <w:rsid w:val="00644665"/>
    <w:rsid w:val="00652DB1"/>
    <w:rsid w:val="0065497E"/>
    <w:rsid w:val="00662C0B"/>
    <w:rsid w:val="00671A53"/>
    <w:rsid w:val="00672D75"/>
    <w:rsid w:val="00682410"/>
    <w:rsid w:val="00693EAA"/>
    <w:rsid w:val="00694A9F"/>
    <w:rsid w:val="006B4EB2"/>
    <w:rsid w:val="006C58D3"/>
    <w:rsid w:val="006D06CC"/>
    <w:rsid w:val="006F000D"/>
    <w:rsid w:val="006F1FDC"/>
    <w:rsid w:val="007341C9"/>
    <w:rsid w:val="00756699"/>
    <w:rsid w:val="007765B5"/>
    <w:rsid w:val="0078268A"/>
    <w:rsid w:val="007B565A"/>
    <w:rsid w:val="007C4416"/>
    <w:rsid w:val="007C5CB5"/>
    <w:rsid w:val="007D66F2"/>
    <w:rsid w:val="007E2EBD"/>
    <w:rsid w:val="007F40A7"/>
    <w:rsid w:val="00807892"/>
    <w:rsid w:val="00833285"/>
    <w:rsid w:val="008429D0"/>
    <w:rsid w:val="00861732"/>
    <w:rsid w:val="00862D05"/>
    <w:rsid w:val="008B4DFB"/>
    <w:rsid w:val="008C558E"/>
    <w:rsid w:val="008C6C9C"/>
    <w:rsid w:val="008C7D44"/>
    <w:rsid w:val="008E1F82"/>
    <w:rsid w:val="008F51A5"/>
    <w:rsid w:val="0090251B"/>
    <w:rsid w:val="00906013"/>
    <w:rsid w:val="00926AC0"/>
    <w:rsid w:val="0093275A"/>
    <w:rsid w:val="009353D7"/>
    <w:rsid w:val="00963220"/>
    <w:rsid w:val="009A3F8B"/>
    <w:rsid w:val="009D1342"/>
    <w:rsid w:val="009D3158"/>
    <w:rsid w:val="009D4D71"/>
    <w:rsid w:val="009E2FB5"/>
    <w:rsid w:val="00A0737C"/>
    <w:rsid w:val="00A144D1"/>
    <w:rsid w:val="00A22EEA"/>
    <w:rsid w:val="00A25C71"/>
    <w:rsid w:val="00A26E69"/>
    <w:rsid w:val="00A32567"/>
    <w:rsid w:val="00A557A2"/>
    <w:rsid w:val="00A73AB2"/>
    <w:rsid w:val="00A77B6B"/>
    <w:rsid w:val="00AB4A81"/>
    <w:rsid w:val="00AC0204"/>
    <w:rsid w:val="00AD2413"/>
    <w:rsid w:val="00AE4751"/>
    <w:rsid w:val="00AF591A"/>
    <w:rsid w:val="00B33819"/>
    <w:rsid w:val="00B5118A"/>
    <w:rsid w:val="00B729A0"/>
    <w:rsid w:val="00BA1673"/>
    <w:rsid w:val="00BE5BB2"/>
    <w:rsid w:val="00C12DDF"/>
    <w:rsid w:val="00C453EA"/>
    <w:rsid w:val="00C507D3"/>
    <w:rsid w:val="00C6039F"/>
    <w:rsid w:val="00C647C4"/>
    <w:rsid w:val="00C72A6C"/>
    <w:rsid w:val="00CB0DC6"/>
    <w:rsid w:val="00CB6CF4"/>
    <w:rsid w:val="00CF39C7"/>
    <w:rsid w:val="00D00A61"/>
    <w:rsid w:val="00D0303C"/>
    <w:rsid w:val="00D04AF4"/>
    <w:rsid w:val="00D066AD"/>
    <w:rsid w:val="00D34916"/>
    <w:rsid w:val="00D466BC"/>
    <w:rsid w:val="00D66A46"/>
    <w:rsid w:val="00D86287"/>
    <w:rsid w:val="00D96B97"/>
    <w:rsid w:val="00DD0FC9"/>
    <w:rsid w:val="00DD1F06"/>
    <w:rsid w:val="00DE71A3"/>
    <w:rsid w:val="00DF0C33"/>
    <w:rsid w:val="00E3358A"/>
    <w:rsid w:val="00E749B8"/>
    <w:rsid w:val="00E8151B"/>
    <w:rsid w:val="00E833F7"/>
    <w:rsid w:val="00EA04CC"/>
    <w:rsid w:val="00EB45FD"/>
    <w:rsid w:val="00EC248D"/>
    <w:rsid w:val="00ED6461"/>
    <w:rsid w:val="00EE2182"/>
    <w:rsid w:val="00EF42DF"/>
    <w:rsid w:val="00EF5BC8"/>
    <w:rsid w:val="00F256FA"/>
    <w:rsid w:val="00F46634"/>
    <w:rsid w:val="00F51E7F"/>
    <w:rsid w:val="00F6596C"/>
    <w:rsid w:val="00F808BD"/>
    <w:rsid w:val="00FA0968"/>
    <w:rsid w:val="00FA3888"/>
    <w:rsid w:val="00FB0511"/>
    <w:rsid w:val="00FC5680"/>
    <w:rsid w:val="00FF1391"/>
    <w:rsid w:val="00FF57C6"/>
    <w:rsid w:val="4637050C"/>
    <w:rsid w:val="4A556D9B"/>
    <w:rsid w:val="515C0243"/>
    <w:rsid w:val="7D8B14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kern w:val="0"/>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kern w:val="0"/>
      <w:sz w:val="18"/>
      <w:szCs w:val="18"/>
    </w:rPr>
  </w:style>
  <w:style w:type="character" w:styleId="6">
    <w:name w:val="Hyperlink"/>
    <w:uiPriority w:val="99"/>
    <w:rPr>
      <w:rFonts w:cs="Times New Roman"/>
      <w:color w:val="0000FF"/>
      <w:u w:val="single"/>
    </w:rPr>
  </w:style>
  <w:style w:type="character" w:customStyle="1" w:styleId="7">
    <w:name w:val="页眉 字符"/>
    <w:link w:val="3"/>
    <w:semiHidden/>
    <w:qFormat/>
    <w:locked/>
    <w:uiPriority w:val="99"/>
    <w:rPr>
      <w:rFonts w:cs="Times New Roman"/>
      <w:sz w:val="18"/>
      <w:szCs w:val="18"/>
    </w:rPr>
  </w:style>
  <w:style w:type="character" w:customStyle="1" w:styleId="8">
    <w:name w:val="页脚 字符"/>
    <w:link w:val="2"/>
    <w:semiHidden/>
    <w:qFormat/>
    <w:locked/>
    <w:uiPriority w:val="99"/>
    <w:rPr>
      <w:rFonts w:cs="Times New Roman"/>
      <w:sz w:val="18"/>
      <w:szCs w:val="18"/>
    </w:rPr>
  </w:style>
  <w:style w:type="paragraph" w:styleId="9">
    <w:name w:val="List Paragraph"/>
    <w:basedOn w:val="1"/>
    <w:qFormat/>
    <w:uiPriority w:val="34"/>
    <w:pPr>
      <w:ind w:firstLine="420" w:firstLineChars="200"/>
    </w:pPr>
  </w:style>
  <w:style w:type="paragraph" w:customStyle="1" w:styleId="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B7EE4E-FF38-4AF1-B08A-C98C5E3188E9}">
  <ds:schemaRefs/>
</ds:datastoreItem>
</file>

<file path=docProps/app.xml><?xml version="1.0" encoding="utf-8"?>
<Properties xmlns="http://schemas.openxmlformats.org/officeDocument/2006/extended-properties" xmlns:vt="http://schemas.openxmlformats.org/officeDocument/2006/docPropsVTypes">
  <Template>Normal</Template>
  <Pages>1</Pages>
  <Words>683</Words>
  <Characters>3897</Characters>
  <Lines>32</Lines>
  <Paragraphs>9</Paragraphs>
  <TotalTime>5</TotalTime>
  <ScaleCrop>false</ScaleCrop>
  <LinksUpToDate>false</LinksUpToDate>
  <CharactersWithSpaces>4571</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2021-02-25T02:07:00Z</dcterms:created>
  <dc:creator>hy</dc:creator>
  <cp:lastModifiedBy>YUCHUANLING</cp:lastModifiedBy>
  <dcterms:modified xsi:type="dcterms:W3CDTF">2022-02-17T12:12:23Z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4067715395F049D78B22EFB7ABD0C617</vt:lpwstr>
  </property>
</Properties>
</file>