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黑体" w:hAnsi="宋体" w:eastAsia="黑体"/>
          <w:sz w:val="32"/>
          <w:szCs w:val="32"/>
        </w:rPr>
      </w:pPr>
      <w:r>
        <w:rPr>
          <w:rFonts w:hint="eastAsia" w:ascii="黑体" w:hAnsi="宋体" w:eastAsia="黑体"/>
          <w:sz w:val="32"/>
          <w:szCs w:val="32"/>
        </w:rPr>
        <w:t>《</w:t>
      </w:r>
      <w:r>
        <w:rPr>
          <w:rFonts w:hint="eastAsia" w:eastAsia="黑体"/>
          <w:sz w:val="32"/>
          <w:szCs w:val="32"/>
        </w:rPr>
        <w:t>欧盟与德国</w:t>
      </w:r>
      <w:r>
        <w:rPr>
          <w:rFonts w:hint="eastAsia" w:ascii="黑体" w:hAnsi="宋体" w:eastAsia="黑体"/>
          <w:sz w:val="32"/>
          <w:szCs w:val="32"/>
        </w:rPr>
        <w:t>》课程教学大纲</w:t>
      </w:r>
    </w:p>
    <w:p>
      <w:pPr>
        <w:snapToGrid w:val="0"/>
        <w:spacing w:before="156" w:beforeLines="50" w:line="360" w:lineRule="auto"/>
        <w:rPr>
          <w:rFonts w:ascii="黑体" w:hAnsi="宋体" w:eastAsia="黑体"/>
          <w:sz w:val="28"/>
          <w:szCs w:val="28"/>
        </w:rPr>
      </w:pPr>
      <w:r>
        <w:rPr>
          <w:rFonts w:ascii="黑体" w:hAnsi="宋体" w:eastAsia="黑体"/>
          <w:sz w:val="28"/>
          <w:szCs w:val="28"/>
        </w:rPr>
        <w:t>一、课程</w:t>
      </w:r>
      <w:r>
        <w:rPr>
          <w:rFonts w:hint="eastAsia" w:ascii="黑体" w:hAnsi="宋体" w:eastAsia="黑体"/>
          <w:sz w:val="28"/>
          <w:szCs w:val="28"/>
        </w:rPr>
        <w:t>基本信息</w:t>
      </w:r>
    </w:p>
    <w:tbl>
      <w:tblPr>
        <w:tblStyle w:val="4"/>
        <w:tblW w:w="881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课程名称</w:t>
            </w:r>
          </w:p>
        </w:tc>
        <w:tc>
          <w:tcPr>
            <w:tcW w:w="7245" w:type="dxa"/>
            <w:gridSpan w:val="2"/>
            <w:tcMar>
              <w:left w:w="57" w:type="dxa"/>
              <w:right w:w="57" w:type="dxa"/>
            </w:tcMar>
            <w:vAlign w:val="center"/>
          </w:tcPr>
          <w:p>
            <w:pPr>
              <w:snapToGrid w:val="0"/>
              <w:spacing w:before="78" w:beforeLines="25" w:line="300" w:lineRule="auto"/>
              <w:rPr>
                <w:szCs w:val="21"/>
              </w:rPr>
            </w:pPr>
            <w:r>
              <w:rPr>
                <w:rFonts w:hint="eastAsia"/>
                <w:szCs w:val="21"/>
              </w:rPr>
              <w:t>欧盟与德国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德文名称</w:t>
            </w:r>
          </w:p>
        </w:tc>
        <w:tc>
          <w:tcPr>
            <w:tcW w:w="7245" w:type="dxa"/>
            <w:gridSpan w:val="2"/>
            <w:tcMar>
              <w:left w:w="57" w:type="dxa"/>
              <w:right w:w="57" w:type="dxa"/>
            </w:tcMar>
            <w:vAlign w:val="center"/>
          </w:tcPr>
          <w:p>
            <w:pPr>
              <w:snapToGrid w:val="0"/>
              <w:spacing w:before="78" w:beforeLines="25" w:line="300" w:lineRule="auto"/>
              <w:rPr>
                <w:szCs w:val="21"/>
              </w:rPr>
            </w:pPr>
            <w:r>
              <w:rPr>
                <w:rFonts w:hint="eastAsia"/>
                <w:szCs w:val="21"/>
              </w:rPr>
              <w:t>EU und Deutschland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课程代码</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rPr>
                <w:szCs w:val="21"/>
              </w:rPr>
            </w:pPr>
            <w:r>
              <w:rPr>
                <w:rFonts w:hint="eastAsia"/>
                <w:szCs w:val="21"/>
              </w:rPr>
              <w:t>ZYK0210031</w:t>
            </w:r>
          </w:p>
        </w:tc>
        <w:tc>
          <w:tcPr>
            <w:tcW w:w="3843" w:type="dxa"/>
            <w:tcBorders>
              <w:left w:val="single" w:color="auto" w:sz="4" w:space="0"/>
              <w:bottom w:val="single" w:color="auto" w:sz="4" w:space="0"/>
            </w:tcBorders>
            <w:tcMar>
              <w:left w:w="0" w:type="dxa"/>
              <w:right w:w="0" w:type="dxa"/>
            </w:tcMar>
            <w:vAlign w:val="center"/>
          </w:tcPr>
          <w:p>
            <w:pPr>
              <w:snapToGrid w:val="0"/>
              <w:spacing w:before="78" w:beforeLines="25" w:line="300" w:lineRule="auto"/>
              <w:jc w:val="center"/>
              <w:rPr>
                <w:rFonts w:eastAsia="黑体"/>
                <w:szCs w:val="21"/>
              </w:rPr>
            </w:pPr>
            <w:r>
              <w:rPr>
                <w:rFonts w:hint="eastAsia" w:eastAsia="黑体"/>
                <w:szCs w:val="21"/>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课程性质</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rPr>
                <w:rFonts w:hint="default" w:eastAsia="宋体"/>
                <w:szCs w:val="21"/>
                <w:lang w:val="en-US" w:eastAsia="zh-CN"/>
              </w:rPr>
            </w:pPr>
            <w:r>
              <w:rPr>
                <w:rFonts w:hint="eastAsia"/>
                <w:szCs w:val="21"/>
              </w:rPr>
              <w:t>专业</w:t>
            </w:r>
            <w:r>
              <w:rPr>
                <w:rFonts w:hint="eastAsia"/>
                <w:szCs w:val="21"/>
                <w:lang w:val="en-US" w:eastAsia="zh-CN"/>
              </w:rPr>
              <w:t>任选课</w:t>
            </w:r>
            <w:bookmarkStart w:id="0" w:name="_GoBack"/>
            <w:bookmarkEnd w:id="0"/>
          </w:p>
        </w:tc>
        <w:tc>
          <w:tcPr>
            <w:tcW w:w="3843" w:type="dxa"/>
            <w:vMerge w:val="restart"/>
            <w:tcBorders>
              <w:left w:val="single" w:color="auto" w:sz="4" w:space="0"/>
            </w:tcBorders>
            <w:tcMar>
              <w:left w:w="0" w:type="dxa"/>
              <w:right w:w="0" w:type="dxa"/>
            </w:tcMar>
            <w:vAlign w:val="center"/>
          </w:tcPr>
          <w:p>
            <w:pPr>
              <w:snapToGrid w:val="0"/>
              <w:spacing w:line="360" w:lineRule="auto"/>
              <w:ind w:left="78" w:leftChars="37"/>
              <w:rPr>
                <w:szCs w:val="21"/>
              </w:rPr>
            </w:pPr>
            <w:r>
              <w:rPr>
                <w:rFonts w:hint="eastAsia"/>
                <w:szCs w:val="21"/>
              </w:rPr>
              <w:t>先修课程：德语国家文化概况</w:t>
            </w:r>
          </w:p>
          <w:p>
            <w:pPr>
              <w:snapToGrid w:val="0"/>
              <w:spacing w:line="360" w:lineRule="auto"/>
              <w:ind w:left="78" w:leftChars="37"/>
              <w:rPr>
                <w:szCs w:val="21"/>
              </w:rPr>
            </w:pPr>
            <w:r>
              <w:rPr>
                <w:rFonts w:hint="eastAsia"/>
                <w:szCs w:val="21"/>
              </w:rPr>
              <w:t>后续课程：德国当代国情研究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学时/学分</w:t>
            </w:r>
          </w:p>
        </w:tc>
        <w:tc>
          <w:tcPr>
            <w:tcW w:w="3402" w:type="dxa"/>
            <w:tcBorders>
              <w:bottom w:val="single" w:color="auto" w:sz="4" w:space="0"/>
              <w:right w:val="single" w:color="auto" w:sz="4" w:space="0"/>
            </w:tcBorders>
            <w:tcMar>
              <w:left w:w="57" w:type="dxa"/>
              <w:right w:w="57" w:type="dxa"/>
            </w:tcMar>
            <w:vAlign w:val="center"/>
          </w:tcPr>
          <w:p>
            <w:pPr>
              <w:snapToGrid w:val="0"/>
              <w:spacing w:before="78" w:beforeLines="25" w:line="300" w:lineRule="auto"/>
              <w:rPr>
                <w:szCs w:val="21"/>
              </w:rPr>
            </w:pPr>
            <w:r>
              <w:rPr>
                <w:rFonts w:hint="eastAsia"/>
                <w:szCs w:val="21"/>
              </w:rPr>
              <w:t>32学时/2学分</w:t>
            </w:r>
          </w:p>
        </w:tc>
        <w:tc>
          <w:tcPr>
            <w:tcW w:w="3843" w:type="dxa"/>
            <w:vMerge w:val="continue"/>
            <w:tcBorders>
              <w:left w:val="single" w:color="auto" w:sz="4" w:space="0"/>
            </w:tcBorders>
            <w:tcMar>
              <w:left w:w="0" w:type="dxa"/>
              <w:right w:w="0" w:type="dxa"/>
            </w:tcMar>
            <w:vAlign w:val="center"/>
          </w:tcPr>
          <w:p>
            <w:pPr>
              <w:snapToGrid w:val="0"/>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考核方式</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rPr>
                <w:rFonts w:hint="eastAsia" w:eastAsia="宋体"/>
                <w:szCs w:val="21"/>
                <w:lang w:val="en-US" w:eastAsia="zh-CN"/>
              </w:rPr>
            </w:pPr>
            <w:r>
              <w:rPr>
                <w:rFonts w:hint="eastAsia"/>
                <w:szCs w:val="21"/>
                <w:lang w:val="en-US" w:eastAsia="zh-CN"/>
              </w:rPr>
              <w:t>考查</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开课学期</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rPr>
                <w:szCs w:val="21"/>
              </w:rPr>
            </w:pPr>
            <w:r>
              <w:rPr>
                <w:rFonts w:hint="eastAsia"/>
                <w:szCs w:val="21"/>
              </w:rPr>
              <w:t>第5学期</w:t>
            </w:r>
          </w:p>
        </w:tc>
        <w:tc>
          <w:tcPr>
            <w:tcW w:w="3843" w:type="dxa"/>
            <w:vMerge w:val="continue"/>
            <w:tcBorders>
              <w:left w:val="single" w:color="auto" w:sz="4" w:space="0"/>
            </w:tcBorders>
            <w:tcMar>
              <w:left w:w="0" w:type="dxa"/>
              <w:right w:w="0" w:type="dxa"/>
            </w:tcMar>
            <w:vAlign w:val="center"/>
          </w:tcPr>
          <w:p>
            <w:pPr>
              <w:snapToGrid w:val="0"/>
              <w:spacing w:before="78" w:beforeLines="25" w:line="300" w:lineRule="auto"/>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开课院系</w:t>
            </w:r>
          </w:p>
        </w:tc>
        <w:tc>
          <w:tcPr>
            <w:tcW w:w="3402" w:type="dxa"/>
            <w:tcBorders>
              <w:top w:val="single" w:color="auto" w:sz="4" w:space="0"/>
              <w:bottom w:val="single" w:color="auto" w:sz="4" w:space="0"/>
              <w:right w:val="single" w:color="auto" w:sz="4" w:space="0"/>
            </w:tcBorders>
            <w:tcMar>
              <w:left w:w="57" w:type="dxa"/>
              <w:right w:w="57" w:type="dxa"/>
            </w:tcMar>
            <w:vAlign w:val="center"/>
          </w:tcPr>
          <w:p>
            <w:pPr>
              <w:snapToGrid w:val="0"/>
              <w:spacing w:before="78" w:beforeLines="25" w:line="300" w:lineRule="auto"/>
              <w:rPr>
                <w:szCs w:val="21"/>
              </w:rPr>
            </w:pPr>
            <w:r>
              <w:rPr>
                <w:rFonts w:hint="eastAsia"/>
                <w:szCs w:val="21"/>
              </w:rPr>
              <w:t>德语学院</w:t>
            </w:r>
          </w:p>
        </w:tc>
        <w:tc>
          <w:tcPr>
            <w:tcW w:w="3843" w:type="dxa"/>
            <w:vMerge w:val="continue"/>
            <w:tcBorders>
              <w:left w:val="single" w:color="auto" w:sz="4" w:space="0"/>
              <w:bottom w:val="single" w:color="auto" w:sz="4" w:space="0"/>
            </w:tcBorders>
            <w:tcMar>
              <w:left w:w="0" w:type="dxa"/>
              <w:right w:w="0" w:type="dxa"/>
            </w:tcMar>
            <w:vAlign w:val="center"/>
          </w:tcPr>
          <w:p>
            <w:pPr>
              <w:snapToGrid w:val="0"/>
              <w:spacing w:before="78" w:beforeLines="25" w:line="300" w:lineRule="auto"/>
              <w:jc w:val="left"/>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适用专业</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jc w:val="left"/>
              <w:rPr>
                <w:szCs w:val="21"/>
              </w:rPr>
            </w:pPr>
            <w:r>
              <w:rPr>
                <w:rFonts w:hint="eastAsia"/>
                <w:szCs w:val="21"/>
              </w:rPr>
              <w:t>德语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编制时间</w:t>
            </w:r>
          </w:p>
        </w:tc>
        <w:tc>
          <w:tcPr>
            <w:tcW w:w="7245" w:type="dxa"/>
            <w:gridSpan w:val="2"/>
            <w:tcBorders>
              <w:top w:val="single" w:color="auto" w:sz="4" w:space="0"/>
            </w:tcBorders>
            <w:tcMar>
              <w:left w:w="57" w:type="dxa"/>
              <w:right w:w="57" w:type="dxa"/>
            </w:tcMar>
            <w:vAlign w:val="center"/>
          </w:tcPr>
          <w:p>
            <w:pPr>
              <w:snapToGrid w:val="0"/>
              <w:spacing w:before="78" w:beforeLines="25" w:line="300" w:lineRule="auto"/>
              <w:jc w:val="left"/>
              <w:rPr>
                <w:rFonts w:hint="default" w:eastAsia="宋体"/>
                <w:szCs w:val="21"/>
                <w:lang w:val="en-US" w:eastAsia="zh-CN"/>
              </w:rPr>
            </w:pPr>
            <w:r>
              <w:rPr>
                <w:rFonts w:hint="eastAsia"/>
                <w:szCs w:val="21"/>
              </w:rPr>
              <w:t>20</w:t>
            </w:r>
            <w:r>
              <w:rPr>
                <w:szCs w:val="21"/>
                <w:lang w:val="de-DE"/>
              </w:rPr>
              <w:t>2</w:t>
            </w:r>
            <w:r>
              <w:rPr>
                <w:rFonts w:hint="eastAsia"/>
                <w:szCs w:val="21"/>
                <w:lang w:val="en-US" w:eastAsia="zh-CN"/>
              </w:rPr>
              <w:t>2</w:t>
            </w:r>
            <w:r>
              <w:rPr>
                <w:rFonts w:hint="eastAsia"/>
                <w:szCs w:val="21"/>
              </w:rPr>
              <w:t>年2月</w:t>
            </w:r>
            <w:r>
              <w:rPr>
                <w:rFonts w:hint="eastAsia"/>
                <w:szCs w:val="21"/>
                <w:lang w:val="en-US" w:eastAsia="zh-CN"/>
              </w:rPr>
              <w:t>18日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Mar>
              <w:left w:w="57" w:type="dxa"/>
              <w:right w:w="57" w:type="dxa"/>
            </w:tcMar>
            <w:vAlign w:val="center"/>
          </w:tcPr>
          <w:p>
            <w:pPr>
              <w:snapToGrid w:val="0"/>
              <w:spacing w:before="78" w:beforeLines="25" w:line="300" w:lineRule="auto"/>
              <w:jc w:val="center"/>
              <w:rPr>
                <w:rFonts w:ascii="黑体" w:hAnsi="宋体" w:eastAsia="黑体"/>
                <w:szCs w:val="21"/>
              </w:rPr>
            </w:pPr>
            <w:r>
              <w:rPr>
                <w:rFonts w:hint="eastAsia" w:ascii="黑体" w:hAnsi="宋体" w:eastAsia="黑体"/>
                <w:szCs w:val="21"/>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bottom w:val="single" w:color="auto" w:sz="4" w:space="0"/>
            </w:tcBorders>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参考教材</w:t>
            </w:r>
          </w:p>
        </w:tc>
        <w:tc>
          <w:tcPr>
            <w:tcW w:w="7245" w:type="dxa"/>
            <w:gridSpan w:val="2"/>
            <w:tcBorders>
              <w:bottom w:val="single" w:color="auto" w:sz="4" w:space="0"/>
            </w:tcBorders>
            <w:tcMar>
              <w:left w:w="57" w:type="dxa"/>
              <w:right w:w="57" w:type="dxa"/>
            </w:tcMar>
            <w:vAlign w:val="center"/>
          </w:tcPr>
          <w:p>
            <w:pPr>
              <w:spacing w:line="288" w:lineRule="auto"/>
              <w:rPr>
                <w:szCs w:val="21"/>
                <w:lang w:val="de-DE"/>
              </w:rPr>
            </w:pPr>
            <w:r>
              <w:rPr>
                <w:rFonts w:hint="eastAsia"/>
                <w:szCs w:val="21"/>
                <w:lang w:val="de-DE"/>
              </w:rPr>
              <w:t>王坚：欧盟完全手册，北京</w:t>
            </w:r>
            <w:r>
              <w:rPr>
                <w:szCs w:val="21"/>
                <w:lang w:val="de-DE"/>
              </w:rPr>
              <w:t xml:space="preserve">: </w:t>
            </w:r>
            <w:r>
              <w:rPr>
                <w:rFonts w:hint="eastAsia"/>
                <w:szCs w:val="21"/>
                <w:lang w:val="de-DE"/>
              </w:rPr>
              <w:t>中央编译出版社，</w:t>
            </w:r>
            <w:r>
              <w:rPr>
                <w:szCs w:val="21"/>
                <w:lang w:val="de-DE"/>
              </w:rPr>
              <w:t xml:space="preserve"> 20</w:t>
            </w:r>
            <w:r>
              <w:rPr>
                <w:rFonts w:hint="eastAsia"/>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2" w:hRule="atLeast"/>
        </w:trPr>
        <w:tc>
          <w:tcPr>
            <w:tcW w:w="1565" w:type="dxa"/>
            <w:tcBorders>
              <w:top w:val="single" w:color="auto" w:sz="4" w:space="0"/>
            </w:tcBorders>
            <w:tcMar>
              <w:left w:w="0" w:type="dxa"/>
              <w:right w:w="0" w:type="dxa"/>
            </w:tcMar>
            <w:vAlign w:val="center"/>
          </w:tcPr>
          <w:p>
            <w:pPr>
              <w:snapToGrid w:val="0"/>
              <w:spacing w:before="78" w:beforeLines="25" w:line="300" w:lineRule="auto"/>
              <w:jc w:val="center"/>
              <w:rPr>
                <w:rFonts w:ascii="宋体" w:hAnsi="宋体"/>
                <w:szCs w:val="21"/>
              </w:rPr>
            </w:pPr>
            <w:r>
              <w:rPr>
                <w:rFonts w:hint="eastAsia" w:ascii="宋体" w:hAnsi="宋体"/>
                <w:szCs w:val="21"/>
              </w:rPr>
              <w:t>教学参考资料及其他学习资源</w:t>
            </w:r>
          </w:p>
        </w:tc>
        <w:tc>
          <w:tcPr>
            <w:tcW w:w="7245" w:type="dxa"/>
            <w:gridSpan w:val="2"/>
            <w:tcBorders>
              <w:top w:val="single" w:color="auto" w:sz="4" w:space="0"/>
            </w:tcBorders>
            <w:tcMar>
              <w:left w:w="57" w:type="dxa"/>
              <w:right w:w="57" w:type="dxa"/>
            </w:tcMar>
            <w:vAlign w:val="center"/>
          </w:tcPr>
          <w:p>
            <w:pPr>
              <w:numPr>
                <w:ilvl w:val="0"/>
                <w:numId w:val="1"/>
              </w:numPr>
              <w:spacing w:line="288" w:lineRule="auto"/>
              <w:rPr>
                <w:szCs w:val="21"/>
                <w:lang w:val="de-DE"/>
              </w:rPr>
            </w:pPr>
            <w:r>
              <w:rPr>
                <w:szCs w:val="21"/>
                <w:lang w:val="de-DE"/>
              </w:rPr>
              <w:t>Wolfgang Böhm</w:t>
            </w:r>
            <w:r>
              <w:rPr>
                <w:rFonts w:hint="eastAsia"/>
                <w:szCs w:val="21"/>
                <w:lang w:val="de-DE"/>
              </w:rPr>
              <w:t>,</w:t>
            </w:r>
            <w:r>
              <w:rPr>
                <w:szCs w:val="21"/>
                <w:lang w:val="de-DE"/>
              </w:rPr>
              <w:t xml:space="preserve"> </w:t>
            </w:r>
            <w:r>
              <w:rPr>
                <w:i/>
                <w:szCs w:val="21"/>
                <w:lang w:val="de-DE"/>
              </w:rPr>
              <w:t>EU for</w:t>
            </w:r>
            <w:r>
              <w:rPr>
                <w:rFonts w:hint="eastAsia"/>
                <w:i/>
                <w:szCs w:val="21"/>
                <w:lang w:val="de-DE"/>
              </w:rPr>
              <w:t xml:space="preserve"> </w:t>
            </w:r>
            <w:r>
              <w:rPr>
                <w:i/>
                <w:szCs w:val="21"/>
                <w:lang w:val="de-DE"/>
              </w:rPr>
              <w:t>you: So funktioniert die Europäische Union</w:t>
            </w:r>
            <w:r>
              <w:rPr>
                <w:szCs w:val="21"/>
                <w:lang w:val="de-DE"/>
              </w:rPr>
              <w:t>. Wien: G&amp;G Verlagsgesellschaft mbH, 2008</w:t>
            </w:r>
          </w:p>
          <w:p>
            <w:pPr>
              <w:numPr>
                <w:ilvl w:val="0"/>
                <w:numId w:val="1"/>
              </w:numPr>
              <w:spacing w:line="288" w:lineRule="auto"/>
              <w:rPr>
                <w:szCs w:val="21"/>
                <w:lang w:val="de-DE"/>
              </w:rPr>
            </w:pPr>
            <w:r>
              <w:rPr>
                <w:rFonts w:hint="eastAsia"/>
                <w:szCs w:val="21"/>
                <w:lang w:val="de-DE"/>
              </w:rPr>
              <w:t xml:space="preserve">Werner Weidenfeld, </w:t>
            </w:r>
            <w:r>
              <w:rPr>
                <w:rFonts w:hint="eastAsia"/>
                <w:i/>
                <w:iCs/>
                <w:szCs w:val="21"/>
                <w:lang w:val="de-DE"/>
              </w:rPr>
              <w:t>Die Europ</w:t>
            </w:r>
            <w:r>
              <w:rPr>
                <w:i/>
                <w:iCs/>
                <w:szCs w:val="21"/>
                <w:lang w:val="de-DE"/>
              </w:rPr>
              <w:t>äische Union</w:t>
            </w:r>
            <w:r>
              <w:rPr>
                <w:szCs w:val="21"/>
                <w:lang w:val="de-DE"/>
              </w:rPr>
              <w:t>. München: Wilhelm Fink, 2013</w:t>
            </w:r>
          </w:p>
          <w:p>
            <w:pPr>
              <w:numPr>
                <w:ilvl w:val="0"/>
                <w:numId w:val="1"/>
              </w:numPr>
              <w:spacing w:line="288" w:lineRule="auto"/>
              <w:rPr>
                <w:szCs w:val="21"/>
                <w:lang w:val="de-DE"/>
              </w:rPr>
            </w:pPr>
            <w:r>
              <w:rPr>
                <w:rFonts w:hint="eastAsia"/>
                <w:szCs w:val="21"/>
                <w:lang w:val="de-DE"/>
              </w:rPr>
              <w:t xml:space="preserve">Pascal Fontaine, </w:t>
            </w:r>
            <w:r>
              <w:rPr>
                <w:i/>
                <w:iCs/>
                <w:szCs w:val="21"/>
                <w:lang w:val="de-DE"/>
              </w:rPr>
              <w:t>Europa in 12 Lektionen</w:t>
            </w:r>
            <w:r>
              <w:rPr>
                <w:szCs w:val="21"/>
                <w:lang w:val="de-DE"/>
              </w:rPr>
              <w:t>. Luxemburg: Amt für Veröffentlichungen der EU, 2014</w:t>
            </w:r>
          </w:p>
          <w:p>
            <w:pPr>
              <w:numPr>
                <w:ilvl w:val="0"/>
                <w:numId w:val="1"/>
              </w:numPr>
              <w:spacing w:line="288" w:lineRule="auto"/>
              <w:rPr>
                <w:szCs w:val="21"/>
                <w:lang w:val="de-DE"/>
              </w:rPr>
            </w:pPr>
            <w:r>
              <w:rPr>
                <w:szCs w:val="21"/>
                <w:lang w:val="de-DE"/>
              </w:rPr>
              <w:t>[比]德沃伊斯特，门镜译</w:t>
            </w:r>
            <w:r>
              <w:rPr>
                <w:rFonts w:hint="eastAsia"/>
                <w:szCs w:val="21"/>
                <w:lang w:val="de-DE"/>
              </w:rPr>
              <w:t>：</w:t>
            </w:r>
            <w:r>
              <w:rPr>
                <w:szCs w:val="21"/>
                <w:lang w:val="de-DE"/>
              </w:rPr>
              <w:t>欧洲一体化进程——欧盟的决策与对外关系，人民大学出版社2007</w:t>
            </w:r>
          </w:p>
          <w:p>
            <w:pPr>
              <w:numPr>
                <w:ilvl w:val="0"/>
                <w:numId w:val="1"/>
              </w:numPr>
              <w:spacing w:line="288" w:lineRule="auto"/>
              <w:rPr>
                <w:szCs w:val="21"/>
                <w:lang w:val="de-DE"/>
              </w:rPr>
            </w:pPr>
            <w:r>
              <w:rPr>
                <w:szCs w:val="21"/>
                <w:lang w:val="de-DE"/>
              </w:rPr>
              <w:t>[</w:t>
            </w:r>
            <w:r>
              <w:rPr>
                <w:rFonts w:hint="eastAsia"/>
                <w:szCs w:val="21"/>
                <w:lang w:val="de-DE"/>
              </w:rPr>
              <w:t>荷</w:t>
            </w:r>
            <w:r>
              <w:rPr>
                <w:szCs w:val="21"/>
                <w:lang w:val="de-DE"/>
              </w:rPr>
              <w:t>]</w:t>
            </w:r>
            <w:r>
              <w:rPr>
                <w:rFonts w:hint="eastAsia"/>
                <w:szCs w:val="21"/>
                <w:lang w:val="de-DE"/>
              </w:rPr>
              <w:t>玛德琳</w:t>
            </w:r>
            <w:r>
              <w:rPr>
                <w:rFonts w:hint="eastAsia" w:ascii="宋体" w:hAnsi="宋体"/>
                <w:szCs w:val="21"/>
                <w:lang w:val="de-DE"/>
              </w:rPr>
              <w:t>·郝斯莉</w:t>
            </w:r>
            <w:r>
              <w:rPr>
                <w:rFonts w:hint="eastAsia"/>
                <w:szCs w:val="21"/>
                <w:lang w:val="de-DE"/>
              </w:rPr>
              <w:t>著，潘文、石坚译：欧元：欧洲货币一体化简介，重庆大学出版社2011</w:t>
            </w:r>
          </w:p>
          <w:p>
            <w:pPr>
              <w:numPr>
                <w:ilvl w:val="0"/>
                <w:numId w:val="1"/>
              </w:numPr>
              <w:spacing w:line="288" w:lineRule="auto"/>
              <w:rPr>
                <w:szCs w:val="21"/>
                <w:lang w:val="de-DE"/>
              </w:rPr>
            </w:pPr>
            <w:r>
              <w:rPr>
                <w:szCs w:val="21"/>
                <w:lang w:val="de-DE"/>
              </w:rPr>
              <w:t>[</w:t>
            </w:r>
            <w:r>
              <w:rPr>
                <w:rFonts w:hint="eastAsia"/>
                <w:szCs w:val="21"/>
                <w:lang w:val="de-DE"/>
              </w:rPr>
              <w:t>德</w:t>
            </w:r>
            <w:r>
              <w:rPr>
                <w:szCs w:val="21"/>
                <w:lang w:val="de-DE"/>
              </w:rPr>
              <w:t>]</w:t>
            </w:r>
            <w:r>
              <w:rPr>
                <w:rFonts w:hint="eastAsia"/>
                <w:szCs w:val="21"/>
                <w:lang w:val="de-DE"/>
              </w:rPr>
              <w:t>沃尔夫冈</w:t>
            </w:r>
            <w:r>
              <w:rPr>
                <w:rFonts w:hint="eastAsia" w:ascii="宋体" w:hAnsi="宋体"/>
                <w:szCs w:val="21"/>
                <w:lang w:val="de-DE"/>
              </w:rPr>
              <w:t xml:space="preserve">·鲁茨欧 著，熊炜、王健 译：德国政府与政治（第7版），北京大学出版社 </w:t>
            </w:r>
            <w:r>
              <w:rPr>
                <w:rFonts w:hint="eastAsia"/>
                <w:szCs w:val="21"/>
                <w:lang w:val="de-DE"/>
              </w:rPr>
              <w:t>2010</w:t>
            </w:r>
          </w:p>
          <w:p>
            <w:pPr>
              <w:numPr>
                <w:ilvl w:val="0"/>
                <w:numId w:val="1"/>
              </w:numPr>
              <w:spacing w:line="288" w:lineRule="auto"/>
              <w:rPr>
                <w:szCs w:val="21"/>
                <w:lang w:val="de-DE"/>
              </w:rPr>
            </w:pPr>
            <w:r>
              <w:rPr>
                <w:rFonts w:eastAsia="΢ȭхڢ, ڌ墬 Verdana"/>
                <w:bCs/>
                <w:szCs w:val="21"/>
                <w:lang w:val="de-DE"/>
              </w:rPr>
              <w:t xml:space="preserve">Europäische </w:t>
            </w:r>
            <w:r>
              <w:rPr>
                <w:rFonts w:hint="eastAsia" w:eastAsia="΢ȭхڢ, ڌ墬 Verdana"/>
                <w:bCs/>
                <w:szCs w:val="21"/>
                <w:lang w:val="de-DE"/>
              </w:rPr>
              <w:t xml:space="preserve">Union, in </w:t>
            </w:r>
            <w:r>
              <w:fldChar w:fldCharType="begin"/>
            </w:r>
            <w:r>
              <w:instrText xml:space="preserve"> HYPERLINK "http://ec.europa.eu/index_de.htm" </w:instrText>
            </w:r>
            <w:r>
              <w:fldChar w:fldCharType="separate"/>
            </w:r>
            <w:r>
              <w:rPr>
                <w:rStyle w:val="6"/>
                <w:szCs w:val="21"/>
                <w:lang w:val="de-DE"/>
              </w:rPr>
              <w:t>http:/</w:t>
            </w:r>
            <w:r>
              <w:rPr>
                <w:rStyle w:val="6"/>
                <w:rFonts w:hint="eastAsia"/>
                <w:szCs w:val="21"/>
                <w:lang w:val="de-DE"/>
              </w:rPr>
              <w:t>/</w:t>
            </w:r>
            <w:r>
              <w:rPr>
                <w:rStyle w:val="6"/>
                <w:szCs w:val="21"/>
                <w:lang w:val="de-DE"/>
              </w:rPr>
              <w:t>europa.eu/</w:t>
            </w:r>
            <w:r>
              <w:rPr>
                <w:rStyle w:val="6"/>
                <w:rFonts w:hint="eastAsia"/>
                <w:szCs w:val="21"/>
                <w:lang w:val="de-DE"/>
              </w:rPr>
              <w:t>european-union/</w:t>
            </w:r>
            <w:r>
              <w:rPr>
                <w:rStyle w:val="6"/>
                <w:szCs w:val="21"/>
                <w:lang w:val="de-DE"/>
              </w:rPr>
              <w:t>index_de</w:t>
            </w:r>
            <w:r>
              <w:rPr>
                <w:rStyle w:val="6"/>
                <w:szCs w:val="21"/>
                <w:lang w:val="de-DE"/>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left w:val="single" w:color="000000" w:sz="4" w:space="0"/>
              <w:bottom w:val="single" w:color="auto" w:sz="4" w:space="0"/>
              <w:right w:val="single" w:color="000000" w:sz="4" w:space="0"/>
            </w:tcBorders>
            <w:tcMar>
              <w:top w:w="0" w:type="dxa"/>
              <w:left w:w="0" w:type="dxa"/>
              <w:bottom w:w="0" w:type="dxa"/>
              <w:right w:w="0" w:type="dxa"/>
            </w:tcMar>
            <w:vAlign w:val="center"/>
          </w:tcPr>
          <w:p>
            <w:pPr>
              <w:snapToGrid w:val="0"/>
              <w:spacing w:before="78" w:beforeLines="25" w:line="300" w:lineRule="auto"/>
              <w:jc w:val="center"/>
              <w:rPr>
                <w:rFonts w:ascii="宋体" w:hAnsi="宋体"/>
                <w:szCs w:val="21"/>
              </w:rPr>
            </w:pPr>
            <w:r>
              <w:rPr>
                <w:rFonts w:hint="eastAsia" w:ascii="黑体" w:hAnsi="宋体" w:eastAsia="黑体"/>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大纲编制人员</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宋体" w:hAnsi="宋体"/>
                <w:szCs w:val="21"/>
              </w:rPr>
            </w:pPr>
            <w:r>
              <w:rPr>
                <w:rFonts w:hint="eastAsia" w:ascii="宋体" w:hAnsi="宋体"/>
                <w:szCs w:val="21"/>
              </w:rPr>
              <w:t>龚倩倩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审核负责人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hint="eastAsia" w:ascii="宋体" w:hAnsi="宋体" w:eastAsia="宋体"/>
                <w:szCs w:val="21"/>
                <w:lang w:val="en-US" w:eastAsia="zh-CN"/>
              </w:rPr>
            </w:pPr>
            <w:r>
              <w:rPr>
                <w:rFonts w:hint="eastAsia" w:ascii="宋体" w:hAnsi="宋体"/>
                <w:szCs w:val="21"/>
                <w:lang w:val="en-US" w:eastAsia="zh-CN"/>
              </w:rPr>
              <w:t>余传玲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top w:val="single" w:color="000000" w:sz="4" w:space="0"/>
              <w:left w:val="single" w:color="000000" w:sz="4" w:space="0"/>
              <w:bottom w:val="single" w:color="000000" w:sz="4" w:space="0"/>
              <w:right w:val="single" w:color="000000" w:sz="4" w:space="0"/>
            </w:tcBorders>
            <w:vAlign w:val="center"/>
          </w:tcPr>
          <w:p>
            <w:pPr>
              <w:snapToGrid w:val="0"/>
              <w:spacing w:before="78" w:beforeLines="25" w:line="300" w:lineRule="auto"/>
              <w:jc w:val="center"/>
              <w:rPr>
                <w:rFonts w:ascii="宋体" w:hAnsi="宋体"/>
                <w:szCs w:val="21"/>
              </w:rPr>
            </w:pPr>
            <w:r>
              <w:rPr>
                <w:rFonts w:hint="eastAsia" w:ascii="宋体" w:hAnsi="宋体"/>
                <w:szCs w:val="21"/>
              </w:rPr>
              <w:t>审定负责人</w:t>
            </w:r>
          </w:p>
        </w:tc>
        <w:tc>
          <w:tcPr>
            <w:tcW w:w="7245" w:type="dxa"/>
            <w:gridSpan w:val="2"/>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snapToGrid w:val="0"/>
              <w:spacing w:before="78" w:beforeLines="25" w:line="300" w:lineRule="auto"/>
              <w:rPr>
                <w:rFonts w:ascii="宋体" w:hAnsi="宋体"/>
                <w:szCs w:val="21"/>
              </w:rPr>
            </w:pPr>
            <w:r>
              <w:rPr>
                <w:rFonts w:ascii="宋体" w:hAnsi="宋体"/>
                <w:szCs w:val="21"/>
              </w:rPr>
              <w:t>李大雪</w:t>
            </w:r>
          </w:p>
        </w:tc>
      </w:tr>
    </w:tbl>
    <w:p>
      <w:pPr>
        <w:snapToGrid w:val="0"/>
        <w:spacing w:line="360" w:lineRule="auto"/>
        <w:rPr>
          <w:rFonts w:ascii="黑体" w:hAnsi="宋体" w:eastAsia="黑体"/>
          <w:sz w:val="28"/>
          <w:szCs w:val="28"/>
        </w:rPr>
        <w:sectPr>
          <w:pgSz w:w="11906" w:h="16838"/>
          <w:pgMar w:top="1418" w:right="1418" w:bottom="1418" w:left="1701" w:header="851" w:footer="992" w:gutter="0"/>
          <w:cols w:space="720" w:num="1"/>
          <w:docGrid w:type="lines" w:linePitch="312" w:charSpace="0"/>
        </w:sectPr>
      </w:pPr>
    </w:p>
    <w:p>
      <w:pPr>
        <w:snapToGrid w:val="0"/>
        <w:spacing w:line="360" w:lineRule="auto"/>
        <w:rPr>
          <w:rFonts w:ascii="黑体" w:hAnsi="宋体" w:eastAsia="黑体"/>
          <w:sz w:val="28"/>
          <w:szCs w:val="28"/>
        </w:rPr>
      </w:pPr>
      <w:r>
        <w:rPr>
          <w:rFonts w:hint="eastAsia" w:ascii="黑体" w:hAnsi="宋体" w:eastAsia="黑体"/>
          <w:sz w:val="28"/>
          <w:szCs w:val="28"/>
        </w:rPr>
        <w:t>二、课程目标与任务</w:t>
      </w:r>
    </w:p>
    <w:p>
      <w:pPr>
        <w:spacing w:line="25" w:lineRule="atLeast"/>
        <w:ind w:firstLine="420" w:firstLineChars="200"/>
        <w:rPr>
          <w:szCs w:val="21"/>
          <w:lang w:val="de-DE"/>
        </w:rPr>
      </w:pPr>
      <w:r>
        <w:rPr>
          <w:rFonts w:hAnsi="ˎ̥"/>
          <w:bCs/>
          <w:color w:val="000000"/>
          <w:kern w:val="0"/>
          <w:szCs w:val="21"/>
          <w:lang w:val="de-DE"/>
        </w:rPr>
        <w:t>本课程</w:t>
      </w:r>
      <w:r>
        <w:rPr>
          <w:rFonts w:hint="eastAsia" w:hAnsi="ˎ̥"/>
          <w:bCs/>
          <w:color w:val="000000"/>
          <w:kern w:val="0"/>
          <w:szCs w:val="21"/>
        </w:rPr>
        <w:t>是为德语专业本科三年级开设的一门专业选修课，在学生现有德语水平基础之上，帮助学生拓展与德国相关的时政知识。课程</w:t>
      </w:r>
      <w:r>
        <w:rPr>
          <w:rFonts w:hAnsi="ˎ̥"/>
          <w:bCs/>
          <w:color w:val="000000"/>
          <w:kern w:val="0"/>
          <w:szCs w:val="21"/>
          <w:lang w:val="de-DE"/>
        </w:rPr>
        <w:t>旨在引导</w:t>
      </w:r>
      <w:r>
        <w:rPr>
          <w:szCs w:val="21"/>
          <w:lang w:val="de-DE"/>
        </w:rPr>
        <w:t>学生</w:t>
      </w:r>
      <w:r>
        <w:rPr>
          <w:rFonts w:hint="eastAsia"/>
          <w:szCs w:val="21"/>
          <w:lang w:val="de-DE"/>
        </w:rPr>
        <w:t>学习</w:t>
      </w:r>
      <w:r>
        <w:rPr>
          <w:szCs w:val="21"/>
          <w:lang w:val="de-DE"/>
        </w:rPr>
        <w:t>欧盟的历史源流、发展过程以及与之相关的各个重要条约</w:t>
      </w:r>
      <w:r>
        <w:rPr>
          <w:rFonts w:hint="eastAsia"/>
          <w:szCs w:val="21"/>
          <w:lang w:val="de-DE"/>
        </w:rPr>
        <w:t>，</w:t>
      </w:r>
      <w:r>
        <w:rPr>
          <w:szCs w:val="21"/>
          <w:lang w:val="de-DE"/>
        </w:rPr>
        <w:t>认识欧洲一体化的历史进程与现状，了解欧盟的内部结构和运作</w:t>
      </w:r>
      <w:r>
        <w:rPr>
          <w:rFonts w:hint="eastAsia"/>
          <w:szCs w:val="21"/>
          <w:lang w:val="de-DE"/>
        </w:rPr>
        <w:t>机制、</w:t>
      </w:r>
      <w:r>
        <w:rPr>
          <w:szCs w:val="21"/>
          <w:lang w:val="de-DE"/>
        </w:rPr>
        <w:t>各大机构的主要</w:t>
      </w:r>
      <w:r>
        <w:rPr>
          <w:rFonts w:hint="eastAsia"/>
          <w:szCs w:val="21"/>
          <w:lang w:val="de-DE"/>
        </w:rPr>
        <w:t>义务与职责，并且学习主要欧盟成员国</w:t>
      </w:r>
      <w:r>
        <w:rPr>
          <w:szCs w:val="21"/>
          <w:lang w:val="de-DE"/>
        </w:rPr>
        <w:t>德国</w:t>
      </w:r>
      <w:r>
        <w:rPr>
          <w:rFonts w:hint="eastAsia"/>
          <w:szCs w:val="21"/>
          <w:lang w:val="de-DE"/>
        </w:rPr>
        <w:t>的政治体系及其</w:t>
      </w:r>
      <w:r>
        <w:rPr>
          <w:szCs w:val="21"/>
          <w:lang w:val="de-DE"/>
        </w:rPr>
        <w:t>在</w:t>
      </w:r>
      <w:r>
        <w:rPr>
          <w:rFonts w:hint="eastAsia"/>
          <w:szCs w:val="21"/>
          <w:lang w:val="de-DE"/>
        </w:rPr>
        <w:t>欧洲一体化</w:t>
      </w:r>
      <w:r>
        <w:rPr>
          <w:szCs w:val="21"/>
          <w:lang w:val="de-DE"/>
        </w:rPr>
        <w:t>过程中的角色和作用，</w:t>
      </w:r>
      <w:r>
        <w:rPr>
          <w:rFonts w:hint="eastAsia"/>
          <w:szCs w:val="21"/>
          <w:lang w:val="de-DE"/>
        </w:rPr>
        <w:t>同时</w:t>
      </w:r>
      <w:r>
        <w:rPr>
          <w:szCs w:val="21"/>
          <w:lang w:val="de-DE"/>
        </w:rPr>
        <w:t>了解欧盟</w:t>
      </w:r>
      <w:r>
        <w:rPr>
          <w:rFonts w:hint="eastAsia"/>
          <w:szCs w:val="21"/>
          <w:lang w:val="de-DE"/>
        </w:rPr>
        <w:t>当前面临的各项危机，及其与各个国家包括</w:t>
      </w:r>
      <w:r>
        <w:rPr>
          <w:szCs w:val="21"/>
          <w:lang w:val="de-DE"/>
        </w:rPr>
        <w:t>中国</w:t>
      </w:r>
      <w:r>
        <w:rPr>
          <w:rFonts w:hint="eastAsia"/>
          <w:szCs w:val="21"/>
          <w:lang w:val="de-DE"/>
        </w:rPr>
        <w:t>之间</w:t>
      </w:r>
      <w:r>
        <w:rPr>
          <w:szCs w:val="21"/>
          <w:lang w:val="de-DE"/>
        </w:rPr>
        <w:t>的关系。</w:t>
      </w:r>
      <w:r>
        <w:rPr>
          <w:rFonts w:hint="eastAsia"/>
          <w:szCs w:val="21"/>
        </w:rPr>
        <w:t>通过本门课程的学习，</w:t>
      </w:r>
      <w:r>
        <w:rPr>
          <w:rFonts w:hint="eastAsia"/>
          <w:szCs w:val="21"/>
          <w:lang w:val="de-DE"/>
        </w:rPr>
        <w:t>学生</w:t>
      </w:r>
      <w:r>
        <w:rPr>
          <w:rFonts w:hint="eastAsia"/>
          <w:szCs w:val="21"/>
        </w:rPr>
        <w:t>既可以了解</w:t>
      </w:r>
      <w:r>
        <w:rPr>
          <w:rFonts w:hint="eastAsia"/>
          <w:szCs w:val="21"/>
          <w:lang w:val="de-DE"/>
        </w:rPr>
        <w:t>对欧盟与德国的历史和当前</w:t>
      </w:r>
      <w:r>
        <w:rPr>
          <w:rFonts w:hint="eastAsia"/>
          <w:szCs w:val="21"/>
        </w:rPr>
        <w:t>形势</w:t>
      </w:r>
      <w:r>
        <w:rPr>
          <w:rFonts w:hint="eastAsia"/>
          <w:szCs w:val="21"/>
          <w:lang w:val="de-DE"/>
        </w:rPr>
        <w:t>，</w:t>
      </w:r>
      <w:r>
        <w:rPr>
          <w:rFonts w:hint="eastAsia"/>
          <w:szCs w:val="21"/>
        </w:rPr>
        <w:t>同时也对中国与欧盟和德国之间的关系以及中国在国际格局中的角色有一定的认识，树立正确的价值观、自信心与民族自豪感</w:t>
      </w:r>
      <w:r>
        <w:rPr>
          <w:rFonts w:hint="eastAsia"/>
          <w:szCs w:val="21"/>
          <w:lang w:val="de-DE"/>
        </w:rPr>
        <w:t>。</w:t>
      </w:r>
    </w:p>
    <w:p>
      <w:pPr>
        <w:spacing w:line="25" w:lineRule="atLeast"/>
        <w:ind w:firstLine="420" w:firstLineChars="200"/>
        <w:rPr>
          <w:szCs w:val="21"/>
          <w:lang w:val="de-DE"/>
        </w:rPr>
      </w:pP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三、课程主要内容、要求及学时分配</w:t>
      </w:r>
    </w:p>
    <w:tbl>
      <w:tblPr>
        <w:tblStyle w:val="4"/>
        <w:tblW w:w="844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8"/>
        <w:gridCol w:w="4327"/>
        <w:gridCol w:w="2805"/>
        <w:gridCol w:w="6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center"/>
          </w:tcPr>
          <w:p>
            <w:pPr>
              <w:snapToGrid w:val="0"/>
              <w:spacing w:before="78" w:beforeLines="25"/>
              <w:jc w:val="center"/>
              <w:rPr>
                <w:rFonts w:ascii="宋体" w:hAnsi="宋体"/>
                <w:szCs w:val="21"/>
              </w:rPr>
            </w:pPr>
            <w:r>
              <w:rPr>
                <w:rFonts w:hint="eastAsia" w:ascii="宋体" w:hAnsi="宋体"/>
                <w:szCs w:val="21"/>
              </w:rPr>
              <w:t>序号</w:t>
            </w:r>
          </w:p>
        </w:tc>
        <w:tc>
          <w:tcPr>
            <w:tcW w:w="4327" w:type="dxa"/>
            <w:vAlign w:val="center"/>
          </w:tcPr>
          <w:p>
            <w:pPr>
              <w:snapToGrid w:val="0"/>
              <w:spacing w:before="78" w:beforeLines="25"/>
              <w:jc w:val="center"/>
              <w:rPr>
                <w:rFonts w:ascii="宋体" w:hAnsi="宋体"/>
                <w:szCs w:val="21"/>
              </w:rPr>
            </w:pPr>
            <w:r>
              <w:rPr>
                <w:rFonts w:hint="eastAsia" w:ascii="宋体" w:hAnsi="宋体"/>
                <w:szCs w:val="21"/>
              </w:rPr>
              <w:t>主要内容</w:t>
            </w:r>
          </w:p>
        </w:tc>
        <w:tc>
          <w:tcPr>
            <w:tcW w:w="2805" w:type="dxa"/>
            <w:vAlign w:val="center"/>
          </w:tcPr>
          <w:p>
            <w:pPr>
              <w:snapToGrid w:val="0"/>
              <w:spacing w:before="78" w:beforeLines="25"/>
              <w:jc w:val="center"/>
              <w:rPr>
                <w:rFonts w:ascii="宋体" w:hAnsi="宋体"/>
                <w:szCs w:val="21"/>
              </w:rPr>
            </w:pPr>
            <w:r>
              <w:rPr>
                <w:rFonts w:hint="eastAsia" w:ascii="宋体" w:hAnsi="宋体"/>
                <w:szCs w:val="21"/>
              </w:rPr>
              <w:t>基本要求</w:t>
            </w:r>
          </w:p>
        </w:tc>
        <w:tc>
          <w:tcPr>
            <w:tcW w:w="661" w:type="dxa"/>
            <w:vAlign w:val="center"/>
          </w:tcPr>
          <w:p>
            <w:pPr>
              <w:snapToGrid w:val="0"/>
              <w:spacing w:before="78" w:beforeLines="25"/>
              <w:jc w:val="center"/>
              <w:rPr>
                <w:rFonts w:ascii="宋体" w:hAnsi="宋体"/>
                <w:szCs w:val="21"/>
              </w:rPr>
            </w:pPr>
            <w:r>
              <w:rPr>
                <w:rFonts w:hint="eastAsia" w:ascii="宋体" w:hAnsi="宋体"/>
                <w:szCs w:val="21"/>
              </w:rPr>
              <w:t>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vAlign w:val="top"/>
          </w:tcPr>
          <w:p>
            <w:pPr>
              <w:snapToGrid w:val="0"/>
              <w:spacing w:before="78" w:beforeLines="25"/>
              <w:ind w:firstLine="105" w:firstLineChars="50"/>
              <w:jc w:val="center"/>
              <w:rPr>
                <w:szCs w:val="21"/>
              </w:rPr>
            </w:pPr>
            <w:r>
              <w:rPr>
                <w:rFonts w:hint="eastAsia"/>
                <w:szCs w:val="21"/>
              </w:rPr>
              <w:t>1</w:t>
            </w:r>
          </w:p>
        </w:tc>
        <w:tc>
          <w:tcPr>
            <w:tcW w:w="4327" w:type="dxa"/>
            <w:vAlign w:val="center"/>
          </w:tcPr>
          <w:p>
            <w:pPr>
              <w:pStyle w:val="7"/>
              <w:ind w:firstLine="0" w:firstLineChars="0"/>
              <w:jc w:val="left"/>
              <w:rPr>
                <w:b/>
                <w:sz w:val="24"/>
                <w:lang w:val="de-DE"/>
              </w:rPr>
            </w:pPr>
            <w:r>
              <w:rPr>
                <w:rFonts w:hint="eastAsia"/>
                <w:b/>
                <w:sz w:val="24"/>
                <w:lang w:val="de-DE"/>
              </w:rPr>
              <w:t>Grundlegende Informatione</w:t>
            </w:r>
            <w:r>
              <w:rPr>
                <w:b/>
                <w:sz w:val="24"/>
                <w:lang w:val="de-DE"/>
              </w:rPr>
              <w:t>n übe</w:t>
            </w:r>
            <w:r>
              <w:rPr>
                <w:rFonts w:hint="eastAsia"/>
                <w:b/>
                <w:sz w:val="24"/>
                <w:lang w:val="de-DE"/>
              </w:rPr>
              <w:t>r die</w:t>
            </w:r>
            <w:r>
              <w:rPr>
                <w:b/>
                <w:sz w:val="24"/>
                <w:lang w:val="de-DE"/>
              </w:rPr>
              <w:t xml:space="preserve"> Europäische Union</w:t>
            </w:r>
          </w:p>
          <w:p>
            <w:pPr>
              <w:pStyle w:val="7"/>
              <w:ind w:firstLine="0" w:firstLineChars="0"/>
              <w:jc w:val="left"/>
              <w:rPr>
                <w:sz w:val="24"/>
                <w:lang w:val="de-DE"/>
              </w:rPr>
            </w:pPr>
            <w:r>
              <w:rPr>
                <w:rFonts w:hint="eastAsia"/>
                <w:sz w:val="24"/>
                <w:lang w:val="de-DE"/>
              </w:rPr>
              <w:t xml:space="preserve">- </w:t>
            </w:r>
            <w:r>
              <w:rPr>
                <w:sz w:val="24"/>
                <w:lang w:val="de-DE"/>
              </w:rPr>
              <w:t>Geografie</w:t>
            </w:r>
          </w:p>
          <w:p>
            <w:pPr>
              <w:pStyle w:val="7"/>
              <w:ind w:firstLine="0" w:firstLineChars="0"/>
              <w:jc w:val="left"/>
              <w:rPr>
                <w:sz w:val="24"/>
                <w:lang w:val="de-DE"/>
              </w:rPr>
            </w:pPr>
            <w:r>
              <w:rPr>
                <w:rFonts w:hint="eastAsia"/>
                <w:sz w:val="24"/>
                <w:lang w:val="de-DE"/>
              </w:rPr>
              <w:t xml:space="preserve">- </w:t>
            </w:r>
            <w:r>
              <w:rPr>
                <w:sz w:val="24"/>
                <w:lang w:val="de-DE"/>
              </w:rPr>
              <w:t>Gründung</w:t>
            </w:r>
          </w:p>
          <w:p>
            <w:pPr>
              <w:pStyle w:val="7"/>
              <w:ind w:firstLine="0" w:firstLineChars="0"/>
              <w:jc w:val="left"/>
              <w:rPr>
                <w:sz w:val="24"/>
                <w:lang w:val="de-DE"/>
              </w:rPr>
            </w:pPr>
            <w:r>
              <w:rPr>
                <w:rFonts w:hint="eastAsia"/>
                <w:sz w:val="24"/>
                <w:lang w:val="de-DE"/>
              </w:rPr>
              <w:t xml:space="preserve">- </w:t>
            </w:r>
            <w:r>
              <w:rPr>
                <w:sz w:val="24"/>
                <w:lang w:val="de-DE"/>
              </w:rPr>
              <w:t>Kultur, Sprache, Symbole</w:t>
            </w:r>
          </w:p>
        </w:tc>
        <w:tc>
          <w:tcPr>
            <w:tcW w:w="2805" w:type="dxa"/>
            <w:vAlign w:val="center"/>
          </w:tcPr>
          <w:p>
            <w:pPr>
              <w:snapToGrid w:val="0"/>
              <w:spacing w:before="78" w:beforeLines="25"/>
              <w:rPr>
                <w:sz w:val="24"/>
                <w:lang w:val="de-DE"/>
              </w:rPr>
            </w:pPr>
            <w:r>
              <w:rPr>
                <w:rFonts w:hint="eastAsia"/>
                <w:sz w:val="24"/>
                <w:lang w:val="de-DE"/>
              </w:rPr>
              <w:t>欧盟概况</w:t>
            </w:r>
          </w:p>
          <w:p>
            <w:pPr>
              <w:snapToGrid w:val="0"/>
              <w:spacing w:before="78" w:beforeLines="25"/>
              <w:rPr>
                <w:sz w:val="24"/>
                <w:lang w:val="de-DE"/>
              </w:rPr>
            </w:pPr>
            <w:r>
              <w:rPr>
                <w:rFonts w:hint="eastAsia"/>
                <w:sz w:val="24"/>
                <w:lang w:val="de-DE"/>
              </w:rPr>
              <w:t>学习欧盟概况，了解本课程的相关计划和安排，</w:t>
            </w:r>
            <w:r>
              <w:rPr>
                <w:rFonts w:hint="eastAsia" w:ascii="宋体" w:hAnsi="宋体"/>
                <w:sz w:val="24"/>
                <w:lang w:val="de-DE"/>
              </w:rPr>
              <w:t>分配学生报告</w:t>
            </w:r>
          </w:p>
        </w:tc>
        <w:tc>
          <w:tcPr>
            <w:tcW w:w="661" w:type="dxa"/>
            <w:vAlign w:val="center"/>
          </w:tcPr>
          <w:p>
            <w:pPr>
              <w:snapToGrid w:val="0"/>
              <w:spacing w:before="78" w:beforeLines="25"/>
              <w:jc w:val="center"/>
              <w:rPr>
                <w:rFonts w:ascii="宋体" w:hAnsi="宋体"/>
                <w:szCs w:val="21"/>
              </w:rPr>
            </w:pPr>
            <w:r>
              <w:rPr>
                <w:rFonts w:hint="eastAsia" w:ascii="宋体" w:hAnsi="宋体"/>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2</w:t>
            </w:r>
          </w:p>
        </w:tc>
        <w:tc>
          <w:tcPr>
            <w:tcW w:w="4327" w:type="dxa"/>
            <w:vAlign w:val="center"/>
          </w:tcPr>
          <w:p>
            <w:pPr>
              <w:pStyle w:val="7"/>
              <w:ind w:firstLine="0" w:firstLineChars="0"/>
              <w:jc w:val="left"/>
              <w:rPr>
                <w:b/>
                <w:sz w:val="24"/>
                <w:lang w:val="de-DE"/>
              </w:rPr>
            </w:pPr>
            <w:r>
              <w:rPr>
                <w:rFonts w:hint="eastAsia"/>
                <w:b/>
                <w:sz w:val="24"/>
                <w:lang w:val="de-DE"/>
              </w:rPr>
              <w:t>Ein</w:t>
            </w:r>
            <w:r>
              <w:rPr>
                <w:b/>
                <w:sz w:val="24"/>
                <w:lang w:val="de-DE"/>
              </w:rPr>
              <w:t>heit 1 Geschichte der Europäischen Integration</w:t>
            </w:r>
          </w:p>
          <w:p>
            <w:pPr>
              <w:pStyle w:val="7"/>
              <w:ind w:firstLine="0" w:firstLineChars="0"/>
              <w:jc w:val="left"/>
              <w:rPr>
                <w:b/>
                <w:sz w:val="24"/>
                <w:lang w:val="de-DE"/>
              </w:rPr>
            </w:pPr>
            <w:r>
              <w:rPr>
                <w:rFonts w:hint="eastAsia"/>
                <w:b/>
                <w:sz w:val="24"/>
                <w:lang w:val="de-DE"/>
              </w:rPr>
              <w:t>1</w:t>
            </w:r>
            <w:r>
              <w:rPr>
                <w:b/>
                <w:sz w:val="24"/>
                <w:lang w:val="de-DE"/>
              </w:rPr>
              <w:t>. Europagedanken</w:t>
            </w:r>
          </w:p>
          <w:p>
            <w:pPr>
              <w:pStyle w:val="7"/>
              <w:ind w:firstLine="0" w:firstLineChars="0"/>
              <w:jc w:val="left"/>
              <w:rPr>
                <w:sz w:val="24"/>
                <w:lang w:val="de-DE"/>
              </w:rPr>
            </w:pPr>
            <w:r>
              <w:rPr>
                <w:rFonts w:hint="eastAsia"/>
                <w:sz w:val="24"/>
                <w:lang w:val="de-DE"/>
              </w:rPr>
              <w:t xml:space="preserve">- </w:t>
            </w:r>
            <w:r>
              <w:rPr>
                <w:sz w:val="24"/>
                <w:lang w:val="de-DE"/>
              </w:rPr>
              <w:t>Herkunft des Begriffs “Europa”</w:t>
            </w:r>
          </w:p>
          <w:p>
            <w:pPr>
              <w:pStyle w:val="7"/>
              <w:ind w:firstLine="0" w:firstLineChars="0"/>
              <w:jc w:val="left"/>
              <w:rPr>
                <w:b/>
                <w:sz w:val="24"/>
                <w:lang w:val="de-DE"/>
              </w:rPr>
            </w:pPr>
            <w:r>
              <w:rPr>
                <w:rFonts w:hint="eastAsia"/>
                <w:sz w:val="24"/>
                <w:lang w:val="de-DE"/>
              </w:rPr>
              <w:t>-</w:t>
            </w:r>
            <w:r>
              <w:rPr>
                <w:sz w:val="24"/>
                <w:lang w:val="de-DE"/>
              </w:rPr>
              <w:t>Hauptmotive europäischer Einigung</w:t>
            </w:r>
          </w:p>
          <w:p>
            <w:pPr>
              <w:pStyle w:val="7"/>
              <w:ind w:firstLine="0" w:firstLineChars="0"/>
              <w:jc w:val="left"/>
              <w:rPr>
                <w:b/>
                <w:sz w:val="24"/>
                <w:lang w:val="de-DE"/>
              </w:rPr>
            </w:pPr>
            <w:r>
              <w:rPr>
                <w:rFonts w:hint="eastAsia"/>
                <w:b/>
                <w:sz w:val="24"/>
                <w:lang w:val="de-DE"/>
              </w:rPr>
              <w:t>2</w:t>
            </w:r>
            <w:r>
              <w:rPr>
                <w:b/>
                <w:sz w:val="24"/>
                <w:lang w:val="de-DE"/>
              </w:rPr>
              <w:t>. Gründung und Erweiterung nach dem Zweiten Weltkrieg</w:t>
            </w:r>
          </w:p>
          <w:p>
            <w:pPr>
              <w:pStyle w:val="7"/>
              <w:ind w:firstLine="0" w:firstLineChars="0"/>
              <w:jc w:val="left"/>
              <w:rPr>
                <w:lang w:val="de-DE"/>
              </w:rPr>
            </w:pPr>
            <w:r>
              <w:rPr>
                <w:rFonts w:hint="eastAsia"/>
                <w:sz w:val="24"/>
                <w:lang w:val="de-DE"/>
              </w:rPr>
              <w:t xml:space="preserve">- </w:t>
            </w:r>
            <w:r>
              <w:rPr>
                <w:sz w:val="24"/>
                <w:lang w:val="de-DE"/>
              </w:rPr>
              <w:t>Gründ</w:t>
            </w:r>
            <w:r>
              <w:rPr>
                <w:rFonts w:hint="eastAsia"/>
                <w:sz w:val="24"/>
                <w:lang w:val="de-DE"/>
              </w:rPr>
              <w:t>ung</w:t>
            </w:r>
            <w:r>
              <w:rPr>
                <w:sz w:val="24"/>
                <w:lang w:val="de-DE"/>
              </w:rPr>
              <w:t xml:space="preserve"> der EU</w:t>
            </w:r>
          </w:p>
          <w:p>
            <w:pPr>
              <w:pStyle w:val="7"/>
              <w:ind w:firstLine="0" w:firstLineChars="0"/>
              <w:jc w:val="left"/>
              <w:rPr>
                <w:sz w:val="24"/>
                <w:lang w:val="de-DE"/>
              </w:rPr>
            </w:pPr>
            <w:r>
              <w:rPr>
                <w:rFonts w:hint="eastAsia"/>
                <w:sz w:val="24"/>
                <w:lang w:val="de-DE"/>
              </w:rPr>
              <w:t xml:space="preserve">- </w:t>
            </w:r>
            <w:r>
              <w:rPr>
                <w:sz w:val="24"/>
                <w:lang w:val="de-DE"/>
              </w:rPr>
              <w:t>E</w:t>
            </w:r>
            <w:r>
              <w:rPr>
                <w:rFonts w:hint="eastAsia"/>
                <w:sz w:val="24"/>
                <w:lang w:val="de-DE"/>
              </w:rPr>
              <w:t>ntwickl</w:t>
            </w:r>
            <w:r>
              <w:rPr>
                <w:sz w:val="24"/>
                <w:lang w:val="de-DE"/>
              </w:rPr>
              <w:t xml:space="preserve">ung </w:t>
            </w:r>
            <w:r>
              <w:rPr>
                <w:rFonts w:hint="eastAsia"/>
                <w:sz w:val="24"/>
                <w:lang w:val="de-DE"/>
              </w:rPr>
              <w:t>und</w:t>
            </w:r>
            <w:r>
              <w:rPr>
                <w:sz w:val="24"/>
                <w:lang w:val="de-DE"/>
              </w:rPr>
              <w:t xml:space="preserve"> Erweiterung der EU</w:t>
            </w:r>
          </w:p>
          <w:p>
            <w:pPr>
              <w:pStyle w:val="7"/>
              <w:ind w:firstLine="0" w:firstLineChars="0"/>
              <w:jc w:val="left"/>
              <w:rPr>
                <w:b/>
                <w:sz w:val="24"/>
                <w:lang w:val="de-DE"/>
              </w:rPr>
            </w:pPr>
            <w:r>
              <w:rPr>
                <w:rFonts w:hint="eastAsia"/>
                <w:b/>
                <w:sz w:val="24"/>
                <w:lang w:val="de-DE"/>
              </w:rPr>
              <w:t>3</w:t>
            </w:r>
            <w:r>
              <w:rPr>
                <w:b/>
                <w:sz w:val="24"/>
                <w:lang w:val="de-DE"/>
              </w:rPr>
              <w:t>. Deutsch-französische Beziehungen</w:t>
            </w:r>
          </w:p>
        </w:tc>
        <w:tc>
          <w:tcPr>
            <w:tcW w:w="2805" w:type="dxa"/>
            <w:vAlign w:val="center"/>
          </w:tcPr>
          <w:p>
            <w:pPr>
              <w:snapToGrid w:val="0"/>
              <w:spacing w:before="78" w:beforeLines="25"/>
              <w:rPr>
                <w:sz w:val="24"/>
                <w:lang w:val="de-DE"/>
              </w:rPr>
            </w:pPr>
            <w:r>
              <w:rPr>
                <w:rFonts w:hint="eastAsia"/>
                <w:sz w:val="24"/>
                <w:lang w:val="de-DE"/>
              </w:rPr>
              <w:t>第一章：欧洲一体化历史进程</w:t>
            </w:r>
          </w:p>
          <w:p>
            <w:pPr>
              <w:spacing w:line="25" w:lineRule="atLeast"/>
              <w:rPr>
                <w:sz w:val="24"/>
                <w:lang w:val="de-DE"/>
              </w:rPr>
            </w:pPr>
            <w:r>
              <w:rPr>
                <w:rFonts w:hint="eastAsia"/>
                <w:sz w:val="24"/>
                <w:lang w:val="de-DE"/>
              </w:rPr>
              <w:t>1.</w:t>
            </w:r>
            <w:r>
              <w:rPr>
                <w:sz w:val="24"/>
                <w:lang w:val="de-DE"/>
              </w:rPr>
              <w:t xml:space="preserve"> </w:t>
            </w:r>
            <w:r>
              <w:rPr>
                <w:rFonts w:hint="eastAsia"/>
                <w:sz w:val="24"/>
                <w:lang w:val="de-DE"/>
              </w:rPr>
              <w:t>欧洲思想</w:t>
            </w:r>
          </w:p>
          <w:p>
            <w:pPr>
              <w:spacing w:line="25" w:lineRule="atLeast"/>
              <w:rPr>
                <w:sz w:val="24"/>
                <w:lang w:val="de-DE"/>
              </w:rPr>
            </w:pPr>
            <w:r>
              <w:rPr>
                <w:rFonts w:hint="eastAsia"/>
                <w:sz w:val="24"/>
                <w:lang w:val="de-DE"/>
              </w:rPr>
              <w:t>2.</w:t>
            </w:r>
            <w:r>
              <w:rPr>
                <w:sz w:val="24"/>
                <w:lang w:val="de-DE"/>
              </w:rPr>
              <w:t xml:space="preserve"> </w:t>
            </w:r>
            <w:r>
              <w:rPr>
                <w:rFonts w:hint="eastAsia"/>
                <w:sz w:val="24"/>
                <w:lang w:val="de-DE"/>
              </w:rPr>
              <w:t>欧盟的成立与发展</w:t>
            </w:r>
          </w:p>
          <w:p>
            <w:pPr>
              <w:spacing w:line="25" w:lineRule="atLeast"/>
              <w:rPr>
                <w:sz w:val="24"/>
                <w:lang w:val="de-DE"/>
              </w:rPr>
            </w:pPr>
            <w:r>
              <w:rPr>
                <w:rFonts w:hint="eastAsia"/>
                <w:sz w:val="24"/>
                <w:lang w:val="de-DE"/>
              </w:rPr>
              <w:t>3.</w:t>
            </w:r>
            <w:r>
              <w:rPr>
                <w:sz w:val="24"/>
                <w:lang w:val="de-DE"/>
              </w:rPr>
              <w:t xml:space="preserve"> </w:t>
            </w:r>
            <w:r>
              <w:rPr>
                <w:rFonts w:hint="eastAsia"/>
                <w:sz w:val="24"/>
                <w:lang w:val="de-DE"/>
              </w:rPr>
              <w:t>德法关系</w:t>
            </w:r>
          </w:p>
          <w:p>
            <w:pPr>
              <w:spacing w:line="25" w:lineRule="atLeast"/>
              <w:rPr>
                <w:sz w:val="24"/>
                <w:lang w:val="de-DE"/>
              </w:rPr>
            </w:pPr>
            <w:r>
              <w:rPr>
                <w:rFonts w:hint="eastAsia"/>
                <w:sz w:val="24"/>
                <w:lang w:val="de-DE"/>
              </w:rPr>
              <w:t>学习欧盟在战后的成立背景，及其成立至今发展与扩大的历史过程</w:t>
            </w:r>
          </w:p>
        </w:tc>
        <w:tc>
          <w:tcPr>
            <w:tcW w:w="661" w:type="dxa"/>
            <w:vAlign w:val="center"/>
          </w:tcPr>
          <w:p>
            <w:pPr>
              <w:snapToGrid w:val="0"/>
              <w:spacing w:before="78" w:beforeLines="25"/>
              <w:ind w:firstLine="105" w:firstLineChars="50"/>
              <w:rPr>
                <w:rFonts w:ascii="宋体" w:hAnsi="宋体"/>
                <w:szCs w:val="21"/>
              </w:rPr>
            </w:pPr>
            <w:r>
              <w:rPr>
                <w:rFonts w:hint="eastAsia" w:ascii="宋体" w:hAnsi="宋体"/>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3</w:t>
            </w:r>
          </w:p>
        </w:tc>
        <w:tc>
          <w:tcPr>
            <w:tcW w:w="4327" w:type="dxa"/>
            <w:vAlign w:val="center"/>
          </w:tcPr>
          <w:p>
            <w:pPr>
              <w:pStyle w:val="7"/>
              <w:ind w:firstLine="0" w:firstLineChars="0"/>
              <w:jc w:val="left"/>
              <w:rPr>
                <w:b/>
                <w:sz w:val="24"/>
                <w:lang w:val="de-DE"/>
              </w:rPr>
            </w:pPr>
            <w:r>
              <w:rPr>
                <w:b/>
                <w:sz w:val="24"/>
                <w:lang w:val="de-DE"/>
              </w:rPr>
              <w:t xml:space="preserve">Einheit </w:t>
            </w:r>
            <w:r>
              <w:rPr>
                <w:rFonts w:hint="eastAsia"/>
                <w:b/>
                <w:sz w:val="24"/>
                <w:lang w:val="de-DE"/>
              </w:rPr>
              <w:t>2</w:t>
            </w:r>
            <w:r>
              <w:rPr>
                <w:b/>
                <w:sz w:val="24"/>
                <w:lang w:val="de-DE"/>
              </w:rPr>
              <w:t xml:space="preserve"> Institutionen und Organe der Europäischen Union</w:t>
            </w:r>
          </w:p>
          <w:p>
            <w:pPr>
              <w:spacing w:line="25" w:lineRule="atLeast"/>
              <w:jc w:val="left"/>
              <w:rPr>
                <w:b/>
                <w:sz w:val="24"/>
                <w:lang w:val="de-DE"/>
              </w:rPr>
            </w:pPr>
            <w:r>
              <w:rPr>
                <w:b/>
                <w:sz w:val="24"/>
                <w:lang w:val="de-DE"/>
              </w:rPr>
              <w:t>1.</w:t>
            </w:r>
            <w:r>
              <w:rPr>
                <w:rFonts w:hint="eastAsia"/>
                <w:b/>
                <w:sz w:val="24"/>
                <w:lang w:val="de-DE"/>
              </w:rPr>
              <w:t xml:space="preserve"> Europäisches Parlament</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Zusammensetzung</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Funktionen</w:t>
            </w:r>
          </w:p>
          <w:p>
            <w:pPr>
              <w:pStyle w:val="7"/>
              <w:ind w:firstLine="0" w:firstLineChars="0"/>
              <w:jc w:val="left"/>
              <w:rPr>
                <w:sz w:val="24"/>
                <w:lang w:val="de-DE"/>
              </w:rPr>
            </w:pPr>
            <w:r>
              <w:rPr>
                <w:sz w:val="24"/>
                <w:lang w:val="de-DE"/>
              </w:rPr>
              <w:t>-</w:t>
            </w:r>
            <w:r>
              <w:rPr>
                <w:rFonts w:hint="eastAsia"/>
                <w:sz w:val="24"/>
                <w:lang w:val="de-DE"/>
              </w:rPr>
              <w:t>Standorte und Kritik</w:t>
            </w:r>
          </w:p>
          <w:p>
            <w:pPr>
              <w:jc w:val="left"/>
              <w:rPr>
                <w:b/>
                <w:sz w:val="24"/>
                <w:lang w:val="de-DE"/>
              </w:rPr>
            </w:pPr>
            <w:r>
              <w:rPr>
                <w:rFonts w:hint="eastAsia"/>
                <w:b/>
                <w:sz w:val="24"/>
                <w:lang w:val="de-DE"/>
              </w:rPr>
              <w:t>2 Rat der Europäischen Union</w:t>
            </w:r>
          </w:p>
          <w:p>
            <w:pPr>
              <w:pStyle w:val="7"/>
              <w:ind w:firstLine="0" w:firstLineChars="0"/>
              <w:jc w:val="left"/>
              <w:rPr>
                <w:sz w:val="24"/>
                <w:lang w:val="de-DE"/>
              </w:rPr>
            </w:pPr>
            <w:r>
              <w:rPr>
                <w:sz w:val="24"/>
                <w:lang w:val="de-DE"/>
              </w:rPr>
              <w:t>-</w:t>
            </w:r>
            <w:r>
              <w:rPr>
                <w:rFonts w:hint="eastAsia"/>
                <w:sz w:val="24"/>
                <w:lang w:val="de-DE"/>
              </w:rPr>
              <w:t xml:space="preserve"> Zusammensetzung</w:t>
            </w:r>
          </w:p>
          <w:p>
            <w:pPr>
              <w:pStyle w:val="7"/>
              <w:ind w:firstLine="0" w:firstLineChars="0"/>
              <w:jc w:val="left"/>
              <w:rPr>
                <w:sz w:val="24"/>
                <w:lang w:val="de-DE"/>
              </w:rPr>
            </w:pPr>
            <w:r>
              <w:rPr>
                <w:sz w:val="24"/>
                <w:lang w:val="de-DE"/>
              </w:rPr>
              <w:t>-</w:t>
            </w:r>
            <w:r>
              <w:rPr>
                <w:rFonts w:hint="eastAsia"/>
                <w:sz w:val="24"/>
                <w:lang w:val="de-DE"/>
              </w:rPr>
              <w:t xml:space="preserve"> Aufgaben/Funktionen</w:t>
            </w:r>
          </w:p>
          <w:p>
            <w:pPr>
              <w:pStyle w:val="7"/>
              <w:ind w:firstLine="0" w:firstLineChars="0"/>
              <w:jc w:val="left"/>
              <w:rPr>
                <w:sz w:val="24"/>
                <w:lang w:val="de-DE"/>
              </w:rPr>
            </w:pPr>
            <w:r>
              <w:rPr>
                <w:sz w:val="24"/>
                <w:lang w:val="de-DE"/>
              </w:rPr>
              <w:t>-</w:t>
            </w:r>
            <w:r>
              <w:rPr>
                <w:rFonts w:hint="eastAsia"/>
                <w:sz w:val="24"/>
                <w:lang w:val="de-DE"/>
              </w:rPr>
              <w:t xml:space="preserve"> Abstimmung</w:t>
            </w:r>
          </w:p>
          <w:p>
            <w:pPr>
              <w:pStyle w:val="7"/>
              <w:ind w:firstLine="0" w:firstLineChars="0"/>
              <w:jc w:val="left"/>
              <w:rPr>
                <w:sz w:val="24"/>
                <w:lang w:val="de-DE"/>
              </w:rPr>
            </w:pPr>
            <w:r>
              <w:rPr>
                <w:sz w:val="24"/>
                <w:lang w:val="de-DE"/>
              </w:rPr>
              <w:t>-</w:t>
            </w:r>
            <w:r>
              <w:rPr>
                <w:rFonts w:hint="eastAsia"/>
                <w:sz w:val="24"/>
                <w:lang w:val="de-DE"/>
              </w:rPr>
              <w:t xml:space="preserve"> Der Europäische Rat</w:t>
            </w:r>
          </w:p>
          <w:p>
            <w:pPr>
              <w:pStyle w:val="7"/>
              <w:ind w:firstLine="0" w:firstLineChars="0"/>
              <w:jc w:val="left"/>
              <w:rPr>
                <w:sz w:val="24"/>
                <w:lang w:val="de-DE"/>
              </w:rPr>
            </w:pPr>
            <w:r>
              <w:rPr>
                <w:rFonts w:hint="eastAsia"/>
                <w:b/>
                <w:sz w:val="24"/>
                <w:lang w:val="de-DE"/>
              </w:rPr>
              <w:t>3 Europäische Kommission</w:t>
            </w:r>
          </w:p>
          <w:p>
            <w:pPr>
              <w:pStyle w:val="7"/>
              <w:ind w:firstLine="0" w:firstLineChars="0"/>
              <w:jc w:val="left"/>
              <w:rPr>
                <w:sz w:val="24"/>
                <w:lang w:val="de-DE"/>
              </w:rPr>
            </w:pPr>
            <w:r>
              <w:rPr>
                <w:sz w:val="24"/>
                <w:lang w:val="de-DE"/>
              </w:rPr>
              <w:t>-</w:t>
            </w:r>
            <w:r>
              <w:rPr>
                <w:rFonts w:hint="eastAsia"/>
                <w:sz w:val="24"/>
                <w:lang w:val="de-DE"/>
              </w:rPr>
              <w:t xml:space="preserve"> Zusammensetzung</w:t>
            </w:r>
          </w:p>
          <w:p>
            <w:pPr>
              <w:pStyle w:val="7"/>
              <w:ind w:firstLine="0" w:firstLineChars="0"/>
              <w:jc w:val="left"/>
              <w:rPr>
                <w:sz w:val="24"/>
                <w:lang w:val="de-DE"/>
              </w:rPr>
            </w:pPr>
            <w:r>
              <w:rPr>
                <w:sz w:val="24"/>
                <w:lang w:val="de-DE"/>
              </w:rPr>
              <w:t>-</w:t>
            </w:r>
            <w:r>
              <w:rPr>
                <w:rFonts w:hint="eastAsia"/>
                <w:sz w:val="24"/>
                <w:lang w:val="de-DE"/>
              </w:rPr>
              <w:t xml:space="preserve"> Arbeitsweise</w:t>
            </w:r>
          </w:p>
          <w:p>
            <w:pPr>
              <w:pStyle w:val="7"/>
              <w:ind w:firstLine="0" w:firstLineChars="0"/>
              <w:jc w:val="left"/>
              <w:rPr>
                <w:sz w:val="24"/>
                <w:lang w:val="de-DE"/>
              </w:rPr>
            </w:pPr>
            <w:r>
              <w:rPr>
                <w:sz w:val="24"/>
                <w:lang w:val="de-DE"/>
              </w:rPr>
              <w:t>-</w:t>
            </w:r>
            <w:r>
              <w:rPr>
                <w:rFonts w:hint="eastAsia"/>
                <w:sz w:val="24"/>
                <w:lang w:val="de-DE"/>
              </w:rPr>
              <w:t xml:space="preserve"> Aufgaben/Funktionen</w:t>
            </w:r>
          </w:p>
          <w:p>
            <w:pPr>
              <w:pStyle w:val="7"/>
              <w:spacing w:line="25" w:lineRule="atLeast"/>
              <w:ind w:firstLine="0" w:firstLineChars="0"/>
              <w:jc w:val="left"/>
              <w:rPr>
                <w:sz w:val="24"/>
                <w:lang w:val="de-DE"/>
              </w:rPr>
            </w:pPr>
            <w:r>
              <w:rPr>
                <w:rFonts w:hint="eastAsia"/>
                <w:b/>
                <w:sz w:val="24"/>
                <w:lang w:val="de-DE"/>
              </w:rPr>
              <w:t>4 Andere Einrichtungen</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Gerichtshof der EU</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Europäische Zentralbank</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Europäischer Rechnungshof</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Europäischer Wirtschafts- und Sozialausschuss</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Europäischer Ausschuss der Regionen</w:t>
            </w:r>
          </w:p>
          <w:p>
            <w:pPr>
              <w:pStyle w:val="7"/>
              <w:ind w:firstLine="0" w:firstLineChars="0"/>
              <w:jc w:val="left"/>
              <w:rPr>
                <w:sz w:val="24"/>
                <w:lang w:val="de-DE"/>
              </w:rPr>
            </w:pPr>
            <w:r>
              <w:rPr>
                <w:sz w:val="24"/>
                <w:lang w:val="de-DE"/>
              </w:rPr>
              <w:t>-</w:t>
            </w:r>
            <w:r>
              <w:rPr>
                <w:rFonts w:hint="eastAsia"/>
                <w:sz w:val="24"/>
                <w:lang w:val="de-DE"/>
              </w:rPr>
              <w:t xml:space="preserve"> </w:t>
            </w:r>
            <w:r>
              <w:rPr>
                <w:sz w:val="24"/>
                <w:lang w:val="de-DE"/>
              </w:rPr>
              <w:t>A</w:t>
            </w:r>
            <w:r>
              <w:rPr>
                <w:rFonts w:hint="eastAsia"/>
                <w:sz w:val="24"/>
                <w:lang w:val="de-DE"/>
              </w:rPr>
              <w:t>genturen der EU</w:t>
            </w:r>
          </w:p>
        </w:tc>
        <w:tc>
          <w:tcPr>
            <w:tcW w:w="2805" w:type="dxa"/>
            <w:vAlign w:val="center"/>
          </w:tcPr>
          <w:p>
            <w:pPr>
              <w:snapToGrid w:val="0"/>
              <w:spacing w:before="78" w:beforeLines="25"/>
              <w:rPr>
                <w:sz w:val="24"/>
                <w:lang w:val="de-DE"/>
              </w:rPr>
            </w:pPr>
            <w:r>
              <w:rPr>
                <w:rFonts w:hint="eastAsia"/>
                <w:sz w:val="24"/>
                <w:lang w:val="de-DE"/>
              </w:rPr>
              <w:t>第二章：欧盟机构</w:t>
            </w:r>
          </w:p>
          <w:p>
            <w:pPr>
              <w:snapToGrid w:val="0"/>
              <w:spacing w:before="78" w:beforeLines="25"/>
              <w:rPr>
                <w:sz w:val="24"/>
                <w:lang w:val="de-DE"/>
              </w:rPr>
            </w:pPr>
            <w:r>
              <w:rPr>
                <w:rFonts w:hint="eastAsia"/>
                <w:sz w:val="24"/>
                <w:lang w:val="de-DE"/>
              </w:rPr>
              <w:t>1. 欧洲议会</w:t>
            </w:r>
          </w:p>
          <w:p>
            <w:pPr>
              <w:snapToGrid w:val="0"/>
              <w:spacing w:before="78" w:beforeLines="25"/>
              <w:rPr>
                <w:sz w:val="24"/>
                <w:lang w:val="de-DE"/>
              </w:rPr>
            </w:pPr>
            <w:r>
              <w:rPr>
                <w:rFonts w:hint="eastAsia"/>
                <w:sz w:val="24"/>
                <w:lang w:val="de-DE"/>
              </w:rPr>
              <w:t>2. 欧盟理事会</w:t>
            </w:r>
          </w:p>
          <w:p>
            <w:pPr>
              <w:snapToGrid w:val="0"/>
              <w:spacing w:before="78" w:beforeLines="25"/>
              <w:rPr>
                <w:sz w:val="24"/>
                <w:lang w:val="de-DE"/>
              </w:rPr>
            </w:pPr>
            <w:r>
              <w:rPr>
                <w:rFonts w:hint="eastAsia"/>
                <w:sz w:val="24"/>
                <w:lang w:val="de-DE"/>
              </w:rPr>
              <w:t>3. 欧盟委员会</w:t>
            </w:r>
          </w:p>
          <w:p>
            <w:pPr>
              <w:snapToGrid w:val="0"/>
              <w:spacing w:before="78" w:beforeLines="25"/>
              <w:rPr>
                <w:sz w:val="24"/>
                <w:lang w:val="de-DE"/>
              </w:rPr>
            </w:pPr>
            <w:r>
              <w:rPr>
                <w:rFonts w:hint="eastAsia"/>
                <w:sz w:val="24"/>
                <w:lang w:val="de-DE"/>
              </w:rPr>
              <w:t>4. 其他欧盟机构</w:t>
            </w:r>
          </w:p>
          <w:p>
            <w:pPr>
              <w:snapToGrid w:val="0"/>
              <w:spacing w:before="78" w:beforeLines="25"/>
              <w:rPr>
                <w:rFonts w:ascii="宋体" w:hAnsi="宋体"/>
                <w:sz w:val="24"/>
                <w:lang w:val="de-DE"/>
              </w:rPr>
            </w:pPr>
            <w:r>
              <w:rPr>
                <w:rFonts w:hint="eastAsia" w:ascii="宋体" w:hAnsi="宋体"/>
                <w:sz w:val="24"/>
                <w:lang w:val="de-DE"/>
              </w:rPr>
              <w:t>学习了解欧盟各大机构的组成和职能</w:t>
            </w:r>
          </w:p>
        </w:tc>
        <w:tc>
          <w:tcPr>
            <w:tcW w:w="661" w:type="dxa"/>
            <w:vAlign w:val="center"/>
          </w:tcPr>
          <w:p>
            <w:pPr>
              <w:snapToGrid w:val="0"/>
              <w:spacing w:before="78" w:beforeLines="25"/>
              <w:ind w:firstLine="105" w:firstLineChars="50"/>
              <w:rPr>
                <w:rFonts w:ascii="宋体" w:hAnsi="宋体"/>
                <w:szCs w:val="21"/>
              </w:rPr>
            </w:pPr>
            <w:r>
              <w:rPr>
                <w:rFonts w:hint="eastAsia" w:ascii="宋体" w:hAnsi="宋体"/>
                <w:szCs w:val="21"/>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4</w:t>
            </w:r>
          </w:p>
        </w:tc>
        <w:tc>
          <w:tcPr>
            <w:tcW w:w="4327" w:type="dxa"/>
            <w:vAlign w:val="center"/>
          </w:tcPr>
          <w:p>
            <w:pPr>
              <w:jc w:val="left"/>
              <w:rPr>
                <w:b/>
                <w:sz w:val="24"/>
                <w:lang w:val="de-DE"/>
              </w:rPr>
            </w:pPr>
            <w:r>
              <w:rPr>
                <w:b/>
                <w:sz w:val="24"/>
                <w:lang w:val="de-DE"/>
              </w:rPr>
              <w:t xml:space="preserve">Einheit </w:t>
            </w:r>
            <w:r>
              <w:rPr>
                <w:rFonts w:hint="eastAsia"/>
                <w:b/>
                <w:sz w:val="24"/>
                <w:lang w:val="de-DE"/>
              </w:rPr>
              <w:t>3</w:t>
            </w:r>
            <w:r>
              <w:rPr>
                <w:b/>
                <w:sz w:val="24"/>
                <w:lang w:val="de-DE"/>
              </w:rPr>
              <w:t xml:space="preserve"> Recht und Gesetzgebung</w:t>
            </w:r>
            <w:r>
              <w:rPr>
                <w:rFonts w:hint="eastAsia"/>
                <w:b/>
                <w:sz w:val="24"/>
                <w:lang w:val="de-DE"/>
              </w:rPr>
              <w:t>4. Demokratie und Rechtsetzung</w:t>
            </w:r>
          </w:p>
          <w:p>
            <w:pPr>
              <w:jc w:val="left"/>
              <w:rPr>
                <w:sz w:val="24"/>
                <w:lang w:val="de-DE"/>
              </w:rPr>
            </w:pPr>
            <w:r>
              <w:rPr>
                <w:sz w:val="24"/>
                <w:lang w:val="de-DE"/>
              </w:rPr>
              <w:t>-</w:t>
            </w:r>
            <w:r>
              <w:rPr>
                <w:rFonts w:hint="eastAsia"/>
                <w:sz w:val="24"/>
                <w:lang w:val="de-DE"/>
              </w:rPr>
              <w:t xml:space="preserve"> </w:t>
            </w:r>
            <w:r>
              <w:rPr>
                <w:sz w:val="24"/>
                <w:lang w:val="de-DE"/>
              </w:rPr>
              <w:t>Recht und Vertrag</w:t>
            </w:r>
          </w:p>
          <w:p>
            <w:pPr>
              <w:jc w:val="left"/>
              <w:rPr>
                <w:sz w:val="24"/>
                <w:lang w:val="de-DE"/>
              </w:rPr>
            </w:pPr>
            <w:r>
              <w:rPr>
                <w:sz w:val="24"/>
                <w:lang w:val="de-DE"/>
              </w:rPr>
              <w:t>-</w:t>
            </w:r>
            <w:r>
              <w:rPr>
                <w:rFonts w:hint="eastAsia"/>
                <w:sz w:val="24"/>
                <w:lang w:val="de-DE"/>
              </w:rPr>
              <w:t xml:space="preserve"> </w:t>
            </w:r>
            <w:r>
              <w:rPr>
                <w:sz w:val="24"/>
                <w:lang w:val="de-DE"/>
              </w:rPr>
              <w:t>Gesetzgebungsverfahren</w:t>
            </w:r>
          </w:p>
        </w:tc>
        <w:tc>
          <w:tcPr>
            <w:tcW w:w="2805" w:type="dxa"/>
            <w:vAlign w:val="center"/>
          </w:tcPr>
          <w:p>
            <w:pPr>
              <w:snapToGrid w:val="0"/>
              <w:spacing w:before="78" w:beforeLines="25"/>
              <w:rPr>
                <w:sz w:val="24"/>
                <w:lang w:val="de-DE"/>
              </w:rPr>
            </w:pPr>
            <w:r>
              <w:rPr>
                <w:rFonts w:hint="eastAsia"/>
                <w:sz w:val="24"/>
                <w:lang w:val="de-DE"/>
              </w:rPr>
              <w:t>第三章：欧盟法律与立法</w:t>
            </w:r>
          </w:p>
          <w:p>
            <w:pPr>
              <w:snapToGrid w:val="0"/>
              <w:spacing w:before="78" w:beforeLines="25"/>
              <w:rPr>
                <w:rFonts w:ascii="宋体" w:hAnsi="宋体"/>
                <w:szCs w:val="21"/>
                <w:lang w:val="de-DE"/>
              </w:rPr>
            </w:pPr>
            <w:r>
              <w:rPr>
                <w:rFonts w:hint="eastAsia"/>
                <w:sz w:val="24"/>
                <w:lang w:val="de-DE"/>
              </w:rPr>
              <w:t>了解欧盟民主体制与立法程序</w:t>
            </w:r>
          </w:p>
        </w:tc>
        <w:tc>
          <w:tcPr>
            <w:tcW w:w="661"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5</w:t>
            </w:r>
          </w:p>
        </w:tc>
        <w:tc>
          <w:tcPr>
            <w:tcW w:w="4327" w:type="dxa"/>
            <w:vAlign w:val="center"/>
          </w:tcPr>
          <w:p>
            <w:pPr>
              <w:pStyle w:val="7"/>
              <w:spacing w:line="25" w:lineRule="atLeast"/>
              <w:ind w:firstLine="0" w:firstLineChars="0"/>
              <w:jc w:val="left"/>
              <w:rPr>
                <w:b/>
                <w:sz w:val="24"/>
                <w:lang w:val="de-DE"/>
              </w:rPr>
            </w:pPr>
            <w:r>
              <w:rPr>
                <w:b/>
                <w:sz w:val="24"/>
                <w:lang w:val="de-DE"/>
              </w:rPr>
              <w:t xml:space="preserve">Einheit </w:t>
            </w:r>
            <w:r>
              <w:rPr>
                <w:rFonts w:hint="eastAsia"/>
                <w:b/>
                <w:sz w:val="24"/>
                <w:lang w:val="de-DE"/>
              </w:rPr>
              <w:t>4</w:t>
            </w:r>
            <w:r>
              <w:rPr>
                <w:b/>
                <w:sz w:val="24"/>
                <w:lang w:val="de-DE"/>
              </w:rPr>
              <w:t xml:space="preserve"> Politikfelder der Europäischen Union</w:t>
            </w:r>
          </w:p>
          <w:p>
            <w:pPr>
              <w:pStyle w:val="7"/>
              <w:spacing w:line="25" w:lineRule="atLeast"/>
              <w:ind w:firstLine="0" w:firstLineChars="0"/>
              <w:jc w:val="left"/>
              <w:rPr>
                <w:sz w:val="24"/>
                <w:lang w:val="de-DE"/>
              </w:rPr>
            </w:pPr>
            <w:r>
              <w:rPr>
                <w:rFonts w:hint="eastAsia"/>
                <w:sz w:val="24"/>
                <w:lang w:val="de-DE"/>
              </w:rPr>
              <w:t>1</w:t>
            </w:r>
            <w:r>
              <w:rPr>
                <w:sz w:val="24"/>
                <w:lang w:val="de-DE"/>
              </w:rPr>
              <w:t>.</w:t>
            </w:r>
            <w:r>
              <w:rPr>
                <w:rFonts w:hint="eastAsia"/>
                <w:sz w:val="24"/>
                <w:lang w:val="de-DE"/>
              </w:rPr>
              <w:t xml:space="preserve"> </w:t>
            </w:r>
            <w:r>
              <w:rPr>
                <w:sz w:val="24"/>
                <w:lang w:val="de-DE"/>
              </w:rPr>
              <w:t>Gemeinsame Agrarpolitik der EU</w:t>
            </w:r>
          </w:p>
          <w:p>
            <w:pPr>
              <w:pStyle w:val="7"/>
              <w:spacing w:line="25" w:lineRule="atLeast"/>
              <w:ind w:firstLine="0" w:firstLineChars="0"/>
              <w:jc w:val="left"/>
              <w:rPr>
                <w:sz w:val="24"/>
                <w:lang w:val="de-DE"/>
              </w:rPr>
            </w:pPr>
            <w:r>
              <w:rPr>
                <w:rFonts w:hint="eastAsia"/>
                <w:sz w:val="24"/>
                <w:lang w:val="de-DE"/>
              </w:rPr>
              <w:t>2</w:t>
            </w:r>
            <w:r>
              <w:rPr>
                <w:sz w:val="24"/>
                <w:lang w:val="de-DE"/>
              </w:rPr>
              <w:t>.</w:t>
            </w:r>
            <w:r>
              <w:rPr>
                <w:rFonts w:hint="eastAsia"/>
                <w:sz w:val="24"/>
                <w:lang w:val="de-DE"/>
              </w:rPr>
              <w:t xml:space="preserve"> </w:t>
            </w:r>
            <w:r>
              <w:rPr>
                <w:sz w:val="24"/>
                <w:lang w:val="de-DE"/>
              </w:rPr>
              <w:t>Regionalpolitik der EU</w:t>
            </w:r>
          </w:p>
          <w:p>
            <w:pPr>
              <w:pStyle w:val="7"/>
              <w:spacing w:line="25" w:lineRule="atLeast"/>
              <w:ind w:firstLine="0" w:firstLineChars="0"/>
              <w:jc w:val="left"/>
              <w:rPr>
                <w:sz w:val="24"/>
                <w:lang w:val="de-DE"/>
              </w:rPr>
            </w:pPr>
            <w:r>
              <w:rPr>
                <w:rFonts w:hint="eastAsia"/>
                <w:sz w:val="24"/>
                <w:lang w:val="de-DE"/>
              </w:rPr>
              <w:t>3</w:t>
            </w:r>
            <w:r>
              <w:rPr>
                <w:sz w:val="24"/>
                <w:lang w:val="de-DE"/>
              </w:rPr>
              <w:t>.</w:t>
            </w:r>
            <w:r>
              <w:rPr>
                <w:rFonts w:hint="eastAsia"/>
                <w:sz w:val="24"/>
                <w:lang w:val="de-DE"/>
              </w:rPr>
              <w:t xml:space="preserve"> </w:t>
            </w:r>
            <w:r>
              <w:rPr>
                <w:sz w:val="24"/>
                <w:lang w:val="de-DE"/>
              </w:rPr>
              <w:t xml:space="preserve">Binnenmarkt </w:t>
            </w:r>
          </w:p>
          <w:p>
            <w:pPr>
              <w:spacing w:line="25" w:lineRule="atLeast"/>
              <w:jc w:val="left"/>
              <w:rPr>
                <w:sz w:val="24"/>
                <w:lang w:val="de-DE"/>
              </w:rPr>
            </w:pPr>
            <w:r>
              <w:rPr>
                <w:rFonts w:hint="eastAsia"/>
                <w:sz w:val="24"/>
                <w:lang w:val="de-DE"/>
              </w:rPr>
              <w:t>4</w:t>
            </w:r>
            <w:r>
              <w:rPr>
                <w:sz w:val="24"/>
                <w:lang w:val="de-DE"/>
              </w:rPr>
              <w:t>.</w:t>
            </w:r>
            <w:r>
              <w:rPr>
                <w:rFonts w:hint="eastAsia"/>
                <w:sz w:val="24"/>
                <w:lang w:val="de-DE"/>
              </w:rPr>
              <w:t xml:space="preserve"> </w:t>
            </w:r>
            <w:r>
              <w:rPr>
                <w:sz w:val="24"/>
                <w:lang w:val="de-DE"/>
              </w:rPr>
              <w:t>Wirtschafts- und Währungsunion</w:t>
            </w:r>
          </w:p>
        </w:tc>
        <w:tc>
          <w:tcPr>
            <w:tcW w:w="2805" w:type="dxa"/>
            <w:vAlign w:val="center"/>
          </w:tcPr>
          <w:p>
            <w:pPr>
              <w:snapToGrid w:val="0"/>
              <w:spacing w:before="78" w:beforeLines="25"/>
              <w:rPr>
                <w:sz w:val="24"/>
                <w:lang w:val="de-DE"/>
              </w:rPr>
            </w:pPr>
            <w:r>
              <w:rPr>
                <w:rFonts w:hint="eastAsia"/>
                <w:sz w:val="24"/>
                <w:lang w:val="de-DE"/>
              </w:rPr>
              <w:t>第四章：欧盟政策</w:t>
            </w:r>
          </w:p>
          <w:p>
            <w:pPr>
              <w:snapToGrid w:val="0"/>
              <w:spacing w:before="78" w:beforeLines="25"/>
              <w:rPr>
                <w:rFonts w:ascii="宋体" w:hAnsi="宋体"/>
                <w:szCs w:val="21"/>
                <w:lang w:val="de-DE"/>
              </w:rPr>
            </w:pPr>
            <w:r>
              <w:rPr>
                <w:rFonts w:hint="eastAsia"/>
                <w:sz w:val="24"/>
                <w:lang w:val="de-DE"/>
              </w:rPr>
              <w:t>了解欧盟主要几大共同政策的意义和功能</w:t>
            </w:r>
          </w:p>
        </w:tc>
        <w:tc>
          <w:tcPr>
            <w:tcW w:w="661"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6</w:t>
            </w:r>
          </w:p>
        </w:tc>
        <w:tc>
          <w:tcPr>
            <w:tcW w:w="4327" w:type="dxa"/>
            <w:vAlign w:val="center"/>
          </w:tcPr>
          <w:p>
            <w:pPr>
              <w:spacing w:line="25" w:lineRule="atLeast"/>
              <w:jc w:val="left"/>
              <w:rPr>
                <w:b/>
                <w:sz w:val="24"/>
                <w:lang w:val="de-DE"/>
              </w:rPr>
            </w:pPr>
            <w:r>
              <w:rPr>
                <w:rFonts w:hint="eastAsia"/>
                <w:b/>
                <w:bCs/>
                <w:sz w:val="24"/>
                <w:lang w:val="de-DE"/>
              </w:rPr>
              <w:t>Ei</w:t>
            </w:r>
            <w:r>
              <w:rPr>
                <w:b/>
                <w:bCs/>
                <w:sz w:val="24"/>
                <w:lang w:val="de-DE"/>
              </w:rPr>
              <w:t>n</w:t>
            </w:r>
            <w:r>
              <w:rPr>
                <w:rFonts w:hint="eastAsia"/>
                <w:b/>
                <w:bCs/>
                <w:sz w:val="24"/>
                <w:lang w:val="de-DE"/>
              </w:rPr>
              <w:t>heit 5</w:t>
            </w:r>
            <w:r>
              <w:rPr>
                <w:rFonts w:hint="eastAsia"/>
                <w:b/>
                <w:sz w:val="24"/>
                <w:lang w:val="de-DE"/>
              </w:rPr>
              <w:t xml:space="preserve"> </w:t>
            </w:r>
            <w:r>
              <w:rPr>
                <w:b/>
                <w:sz w:val="24"/>
                <w:lang w:val="de-DE"/>
              </w:rPr>
              <w:t xml:space="preserve">Das politische System </w:t>
            </w:r>
            <w:r>
              <w:rPr>
                <w:rFonts w:hint="eastAsia"/>
                <w:b/>
                <w:sz w:val="24"/>
                <w:lang w:val="de-DE"/>
              </w:rPr>
              <w:t>der Bundesrepublik</w:t>
            </w:r>
            <w:r>
              <w:rPr>
                <w:b/>
                <w:sz w:val="24"/>
                <w:lang w:val="de-DE"/>
              </w:rPr>
              <w:t xml:space="preserve"> Deutschland</w:t>
            </w:r>
          </w:p>
          <w:p>
            <w:pPr>
              <w:pStyle w:val="7"/>
              <w:spacing w:line="25" w:lineRule="atLeast"/>
              <w:ind w:firstLine="0" w:firstLineChars="0"/>
              <w:jc w:val="left"/>
              <w:rPr>
                <w:b/>
                <w:sz w:val="24"/>
                <w:lang w:val="de-DE"/>
              </w:rPr>
            </w:pPr>
            <w:r>
              <w:rPr>
                <w:rFonts w:hint="eastAsia"/>
                <w:b/>
                <w:sz w:val="24"/>
                <w:lang w:val="de-DE"/>
              </w:rPr>
              <w:t xml:space="preserve">1. </w:t>
            </w:r>
            <w:r>
              <w:rPr>
                <w:b/>
                <w:sz w:val="24"/>
                <w:lang w:val="de-DE"/>
              </w:rPr>
              <w:t>Parteiensystem</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t>
            </w:r>
            <w:r>
              <w:rPr>
                <w:sz w:val="24"/>
                <w:lang w:val="de-DE"/>
              </w:rPr>
              <w:t>Formen des Parteiensystems</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t>
            </w:r>
            <w:r>
              <w:rPr>
                <w:sz w:val="24"/>
                <w:lang w:val="de-DE"/>
              </w:rPr>
              <w:t>Parteienfinanzierung</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t>
            </w:r>
            <w:r>
              <w:rPr>
                <w:sz w:val="24"/>
                <w:lang w:val="de-DE"/>
              </w:rPr>
              <w:t>Parteiensystem</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t>
            </w:r>
            <w:r>
              <w:rPr>
                <w:sz w:val="24"/>
                <w:lang w:val="de-DE"/>
              </w:rPr>
              <w:t>Parteien im 19. Deutschen Bundestag</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t>
            </w:r>
            <w:r>
              <w:rPr>
                <w:sz w:val="24"/>
                <w:lang w:val="de-DE"/>
              </w:rPr>
              <w:t>Parteien außerhalb des Deutschen Bundestags</w:t>
            </w:r>
          </w:p>
          <w:p>
            <w:pPr>
              <w:pStyle w:val="7"/>
              <w:spacing w:line="25" w:lineRule="atLeast"/>
              <w:ind w:firstLine="0" w:firstLineChars="0"/>
              <w:jc w:val="left"/>
              <w:rPr>
                <w:b/>
                <w:sz w:val="24"/>
                <w:lang w:val="de-DE"/>
              </w:rPr>
            </w:pPr>
            <w:r>
              <w:rPr>
                <w:rFonts w:hint="eastAsia"/>
                <w:b/>
                <w:sz w:val="24"/>
                <w:lang w:val="de-DE"/>
              </w:rPr>
              <w:t xml:space="preserve">2. </w:t>
            </w:r>
            <w:r>
              <w:rPr>
                <w:b/>
                <w:sz w:val="24"/>
                <w:lang w:val="de-DE"/>
              </w:rPr>
              <w:t>Wahlen</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t>
            </w:r>
            <w:r>
              <w:rPr>
                <w:sz w:val="24"/>
                <w:lang w:val="de-DE"/>
              </w:rPr>
              <w:t>Wahlrecht</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w:t>
            </w:r>
            <w:r>
              <w:rPr>
                <w:sz w:val="24"/>
                <w:lang w:val="de-DE"/>
              </w:rPr>
              <w:t>ahlorgane</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w:t>
            </w:r>
            <w:r>
              <w:rPr>
                <w:sz w:val="24"/>
                <w:lang w:val="de-DE"/>
              </w:rPr>
              <w:t>ahlbeteiligung</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w:t>
            </w:r>
            <w:r>
              <w:rPr>
                <w:sz w:val="24"/>
                <w:lang w:val="de-DE"/>
              </w:rPr>
              <w:t>ahlverfahren und -system</w:t>
            </w:r>
          </w:p>
          <w:p>
            <w:pPr>
              <w:spacing w:line="25" w:lineRule="atLeast"/>
              <w:jc w:val="left"/>
              <w:rPr>
                <w:b/>
                <w:sz w:val="24"/>
                <w:lang w:val="de-DE"/>
              </w:rPr>
            </w:pPr>
            <w:r>
              <w:rPr>
                <w:rFonts w:hint="eastAsia"/>
                <w:b/>
                <w:sz w:val="24"/>
                <w:lang w:val="de-DE"/>
              </w:rPr>
              <w:t xml:space="preserve">3. </w:t>
            </w:r>
            <w:r>
              <w:rPr>
                <w:b/>
                <w:sz w:val="24"/>
                <w:lang w:val="de-DE"/>
              </w:rPr>
              <w:t xml:space="preserve">Verfassungsorgane des Bundes </w:t>
            </w:r>
          </w:p>
          <w:p>
            <w:pPr>
              <w:spacing w:line="25" w:lineRule="atLeast"/>
              <w:jc w:val="left"/>
              <w:rPr>
                <w:sz w:val="24"/>
                <w:lang w:val="de-DE"/>
              </w:rPr>
            </w:pPr>
            <w:r>
              <w:rPr>
                <w:sz w:val="24"/>
                <w:lang w:val="de-DE"/>
              </w:rPr>
              <w:t>- Bundestag</w:t>
            </w:r>
          </w:p>
          <w:p>
            <w:pPr>
              <w:spacing w:line="25" w:lineRule="atLeast"/>
              <w:jc w:val="left"/>
              <w:rPr>
                <w:sz w:val="24"/>
                <w:lang w:val="de-DE"/>
              </w:rPr>
            </w:pPr>
            <w:r>
              <w:rPr>
                <w:rFonts w:hint="eastAsia"/>
                <w:sz w:val="24"/>
                <w:lang w:val="de-DE"/>
              </w:rPr>
              <w:t>-</w:t>
            </w:r>
            <w:r>
              <w:rPr>
                <w:sz w:val="24"/>
                <w:lang w:val="de-DE"/>
              </w:rPr>
              <w:t xml:space="preserve"> Bundesrat</w:t>
            </w:r>
          </w:p>
          <w:p>
            <w:pPr>
              <w:spacing w:line="25" w:lineRule="atLeast"/>
              <w:jc w:val="left"/>
              <w:rPr>
                <w:sz w:val="24"/>
                <w:lang w:val="de-DE"/>
              </w:rPr>
            </w:pPr>
            <w:r>
              <w:rPr>
                <w:sz w:val="24"/>
                <w:lang w:val="de-DE"/>
              </w:rPr>
              <w:t>- Bundespräsident</w:t>
            </w:r>
          </w:p>
          <w:p>
            <w:pPr>
              <w:spacing w:line="25" w:lineRule="atLeast"/>
              <w:jc w:val="left"/>
              <w:rPr>
                <w:sz w:val="24"/>
                <w:lang w:val="de-DE"/>
              </w:rPr>
            </w:pPr>
            <w:r>
              <w:rPr>
                <w:sz w:val="24"/>
                <w:lang w:val="de-DE"/>
              </w:rPr>
              <w:t>- Bundesregierung</w:t>
            </w:r>
          </w:p>
          <w:p>
            <w:pPr>
              <w:spacing w:line="25" w:lineRule="atLeast"/>
              <w:jc w:val="left"/>
              <w:rPr>
                <w:sz w:val="24"/>
                <w:lang w:val="de-DE"/>
              </w:rPr>
            </w:pPr>
            <w:r>
              <w:rPr>
                <w:sz w:val="24"/>
                <w:lang w:val="de-DE"/>
              </w:rPr>
              <w:t>- Bundesverfassungsgericht</w:t>
            </w:r>
          </w:p>
        </w:tc>
        <w:tc>
          <w:tcPr>
            <w:tcW w:w="2805" w:type="dxa"/>
            <w:vAlign w:val="center"/>
          </w:tcPr>
          <w:p>
            <w:pPr>
              <w:snapToGrid w:val="0"/>
              <w:spacing w:before="78" w:beforeLines="25"/>
              <w:rPr>
                <w:rFonts w:ascii="宋体" w:hAnsi="宋体"/>
                <w:sz w:val="24"/>
                <w:lang w:val="de-DE"/>
              </w:rPr>
            </w:pPr>
            <w:r>
              <w:rPr>
                <w:rFonts w:hint="eastAsia" w:ascii="宋体" w:hAnsi="宋体"/>
                <w:sz w:val="24"/>
                <w:lang w:val="de-DE"/>
              </w:rPr>
              <w:t>第五章：德国政治体系</w:t>
            </w:r>
          </w:p>
          <w:p>
            <w:pPr>
              <w:snapToGrid w:val="0"/>
              <w:spacing w:before="78" w:beforeLines="25"/>
              <w:rPr>
                <w:rFonts w:ascii="宋体" w:hAnsi="宋体"/>
                <w:sz w:val="24"/>
                <w:lang w:val="de-DE"/>
              </w:rPr>
            </w:pPr>
            <w:r>
              <w:rPr>
                <w:rFonts w:hint="eastAsia" w:ascii="宋体" w:hAnsi="宋体"/>
                <w:sz w:val="24"/>
                <w:lang w:val="de-DE"/>
              </w:rPr>
              <w:t>1.</w:t>
            </w:r>
            <w:r>
              <w:rPr>
                <w:rFonts w:ascii="宋体" w:hAnsi="宋体"/>
                <w:sz w:val="24"/>
                <w:lang w:val="de-DE"/>
              </w:rPr>
              <w:t xml:space="preserve"> </w:t>
            </w:r>
            <w:r>
              <w:rPr>
                <w:rFonts w:hint="eastAsia" w:ascii="宋体" w:hAnsi="宋体"/>
                <w:sz w:val="24"/>
                <w:lang w:val="de-DE"/>
              </w:rPr>
              <w:t>政党体系</w:t>
            </w:r>
          </w:p>
          <w:p>
            <w:pPr>
              <w:snapToGrid w:val="0"/>
              <w:spacing w:before="78" w:beforeLines="25"/>
              <w:rPr>
                <w:rFonts w:ascii="宋体" w:hAnsi="宋体"/>
                <w:sz w:val="24"/>
                <w:lang w:val="de-DE"/>
              </w:rPr>
            </w:pPr>
            <w:r>
              <w:rPr>
                <w:rFonts w:hint="eastAsia" w:ascii="宋体" w:hAnsi="宋体"/>
                <w:sz w:val="24"/>
                <w:lang w:val="de-DE"/>
              </w:rPr>
              <w:t>2.</w:t>
            </w:r>
            <w:r>
              <w:rPr>
                <w:rFonts w:ascii="宋体" w:hAnsi="宋体"/>
                <w:sz w:val="24"/>
                <w:lang w:val="de-DE"/>
              </w:rPr>
              <w:t xml:space="preserve"> </w:t>
            </w:r>
            <w:r>
              <w:rPr>
                <w:rFonts w:hint="eastAsia" w:ascii="宋体" w:hAnsi="宋体"/>
                <w:sz w:val="24"/>
                <w:lang w:val="de-DE"/>
              </w:rPr>
              <w:t>德国选举</w:t>
            </w:r>
          </w:p>
          <w:p>
            <w:pPr>
              <w:spacing w:line="25" w:lineRule="atLeast"/>
              <w:rPr>
                <w:rFonts w:ascii="宋体" w:hAnsi="宋体"/>
                <w:sz w:val="24"/>
                <w:lang w:val="de-DE"/>
              </w:rPr>
            </w:pPr>
            <w:r>
              <w:rPr>
                <w:rFonts w:hint="eastAsia" w:ascii="宋体" w:hAnsi="宋体"/>
                <w:sz w:val="24"/>
                <w:lang w:val="de-DE"/>
              </w:rPr>
              <w:t>3.</w:t>
            </w:r>
            <w:r>
              <w:rPr>
                <w:rFonts w:ascii="宋体" w:hAnsi="宋体"/>
                <w:sz w:val="24"/>
                <w:lang w:val="de-DE"/>
              </w:rPr>
              <w:t xml:space="preserve"> </w:t>
            </w:r>
            <w:r>
              <w:rPr>
                <w:rFonts w:hint="eastAsia" w:ascii="宋体" w:hAnsi="宋体"/>
                <w:sz w:val="24"/>
                <w:lang w:val="de-DE"/>
              </w:rPr>
              <w:t>德国宪法机构</w:t>
            </w:r>
          </w:p>
          <w:p>
            <w:pPr>
              <w:spacing w:line="25" w:lineRule="atLeast"/>
              <w:rPr>
                <w:rFonts w:ascii="宋体" w:hAnsi="宋体"/>
                <w:sz w:val="24"/>
                <w:lang w:val="de-DE"/>
              </w:rPr>
            </w:pPr>
            <w:r>
              <w:rPr>
                <w:rFonts w:hint="eastAsia" w:ascii="宋体" w:hAnsi="宋体"/>
                <w:sz w:val="24"/>
                <w:lang w:val="de-DE"/>
              </w:rPr>
              <w:t>联邦议院、联邦参议院、总统、联邦政府、联邦宪法法院</w:t>
            </w:r>
          </w:p>
          <w:p>
            <w:pPr>
              <w:snapToGrid w:val="0"/>
              <w:spacing w:before="78" w:beforeLines="25"/>
              <w:rPr>
                <w:rFonts w:ascii="宋体" w:hAnsi="宋体"/>
                <w:sz w:val="24"/>
                <w:lang w:val="de-DE"/>
              </w:rPr>
            </w:pPr>
            <w:r>
              <w:rPr>
                <w:rFonts w:hint="eastAsia" w:ascii="宋体" w:hAnsi="宋体"/>
                <w:sz w:val="24"/>
                <w:lang w:val="de-DE"/>
              </w:rPr>
              <w:t>学习了解德国政党体系，德国联邦选举流程以及联邦议院和联邦政府的组成和主要职能</w:t>
            </w:r>
          </w:p>
        </w:tc>
        <w:tc>
          <w:tcPr>
            <w:tcW w:w="661" w:type="dxa"/>
            <w:vAlign w:val="center"/>
          </w:tcPr>
          <w:p>
            <w:pPr>
              <w:snapToGrid w:val="0"/>
              <w:spacing w:before="78" w:beforeLines="25"/>
              <w:ind w:firstLine="105" w:firstLineChars="50"/>
              <w:rPr>
                <w:rFonts w:ascii="宋体" w:hAnsi="宋体"/>
                <w:szCs w:val="21"/>
                <w:lang w:val="de-DE"/>
              </w:rPr>
            </w:pPr>
            <w:r>
              <w:rPr>
                <w:rFonts w:ascii="宋体" w:hAnsi="宋体"/>
                <w:szCs w:val="21"/>
                <w:lang w:val="de-DE"/>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7</w:t>
            </w:r>
          </w:p>
        </w:tc>
        <w:tc>
          <w:tcPr>
            <w:tcW w:w="4327" w:type="dxa"/>
            <w:vAlign w:val="center"/>
          </w:tcPr>
          <w:p>
            <w:pPr>
              <w:jc w:val="left"/>
              <w:rPr>
                <w:b/>
                <w:sz w:val="24"/>
                <w:lang w:val="de-DE"/>
              </w:rPr>
            </w:pPr>
            <w:r>
              <w:rPr>
                <w:b/>
                <w:sz w:val="24"/>
                <w:lang w:val="de-DE"/>
              </w:rPr>
              <w:t xml:space="preserve">Einheit </w:t>
            </w:r>
            <w:r>
              <w:rPr>
                <w:rFonts w:hint="eastAsia"/>
                <w:b/>
                <w:sz w:val="24"/>
                <w:lang w:val="de-DE"/>
              </w:rPr>
              <w:t>6</w:t>
            </w:r>
            <w:r>
              <w:rPr>
                <w:b/>
                <w:sz w:val="24"/>
                <w:lang w:val="de-DE"/>
              </w:rPr>
              <w:t xml:space="preserve"> Herausforderungen der Europäischen Union</w:t>
            </w:r>
          </w:p>
          <w:p>
            <w:pPr>
              <w:jc w:val="left"/>
              <w:rPr>
                <w:b/>
                <w:sz w:val="24"/>
                <w:lang w:val="de-DE"/>
              </w:rPr>
            </w:pPr>
            <w:r>
              <w:rPr>
                <w:rFonts w:hint="eastAsia"/>
                <w:b/>
                <w:sz w:val="24"/>
                <w:lang w:val="de-DE"/>
              </w:rPr>
              <w:t xml:space="preserve">1. </w:t>
            </w:r>
            <w:r>
              <w:rPr>
                <w:b/>
                <w:sz w:val="24"/>
                <w:lang w:val="de-DE"/>
              </w:rPr>
              <w:t xml:space="preserve">Finanzkrise </w:t>
            </w:r>
          </w:p>
          <w:p>
            <w:pPr>
              <w:jc w:val="left"/>
              <w:rPr>
                <w:sz w:val="24"/>
                <w:lang w:val="de-DE"/>
              </w:rPr>
            </w:pPr>
            <w:r>
              <w:rPr>
                <w:sz w:val="24"/>
                <w:lang w:val="de-DE"/>
              </w:rPr>
              <w:t>- Griechische Staatsschuldenkrise</w:t>
            </w:r>
          </w:p>
          <w:p>
            <w:pPr>
              <w:jc w:val="left"/>
              <w:rPr>
                <w:sz w:val="24"/>
                <w:lang w:val="de-DE"/>
              </w:rPr>
            </w:pPr>
            <w:r>
              <w:rPr>
                <w:sz w:val="24"/>
                <w:lang w:val="de-DE"/>
              </w:rPr>
              <w:t>- Internationale Gläubiger: Troika</w:t>
            </w:r>
          </w:p>
          <w:p>
            <w:pPr>
              <w:pStyle w:val="7"/>
              <w:spacing w:line="25" w:lineRule="atLeast"/>
              <w:ind w:firstLine="0" w:firstLineChars="0"/>
              <w:jc w:val="left"/>
              <w:rPr>
                <w:sz w:val="24"/>
                <w:lang w:val="de-DE"/>
              </w:rPr>
            </w:pPr>
            <w:r>
              <w:rPr>
                <w:sz w:val="24"/>
                <w:lang w:val="de-DE"/>
              </w:rPr>
              <w:t>- Eurokrise</w:t>
            </w:r>
          </w:p>
          <w:p>
            <w:pPr>
              <w:pStyle w:val="7"/>
              <w:ind w:firstLine="0" w:firstLineChars="0"/>
              <w:jc w:val="left"/>
              <w:rPr>
                <w:b/>
                <w:sz w:val="24"/>
                <w:lang w:val="de-DE"/>
              </w:rPr>
            </w:pPr>
            <w:r>
              <w:rPr>
                <w:rFonts w:hint="eastAsia"/>
                <w:b/>
                <w:sz w:val="24"/>
                <w:lang w:val="de-DE"/>
              </w:rPr>
              <w:t xml:space="preserve">2. </w:t>
            </w:r>
            <w:r>
              <w:rPr>
                <w:b/>
                <w:sz w:val="24"/>
                <w:lang w:val="de-DE"/>
              </w:rPr>
              <w:t>Flüchtlingskrise</w:t>
            </w:r>
          </w:p>
          <w:p>
            <w:pPr>
              <w:pStyle w:val="7"/>
              <w:ind w:firstLine="0" w:firstLineChars="0"/>
              <w:jc w:val="left"/>
              <w:rPr>
                <w:sz w:val="24"/>
                <w:lang w:val="de-DE"/>
              </w:rPr>
            </w:pPr>
            <w:r>
              <w:rPr>
                <w:sz w:val="24"/>
                <w:lang w:val="de-DE"/>
              </w:rPr>
              <w:t>- Ursachen der wachsenden Flüchtlingsströme</w:t>
            </w:r>
          </w:p>
          <w:p>
            <w:pPr>
              <w:pStyle w:val="7"/>
              <w:ind w:firstLine="0" w:firstLineChars="0"/>
              <w:jc w:val="left"/>
              <w:rPr>
                <w:sz w:val="24"/>
                <w:lang w:val="de-DE"/>
              </w:rPr>
            </w:pPr>
            <w:r>
              <w:rPr>
                <w:sz w:val="24"/>
                <w:lang w:val="de-DE"/>
              </w:rPr>
              <w:t>- vor 2015</w:t>
            </w:r>
          </w:p>
          <w:p>
            <w:pPr>
              <w:pStyle w:val="7"/>
              <w:ind w:firstLine="0" w:firstLineChars="0"/>
              <w:jc w:val="left"/>
              <w:rPr>
                <w:sz w:val="24"/>
                <w:lang w:val="de-DE"/>
              </w:rPr>
            </w:pPr>
            <w:r>
              <w:rPr>
                <w:sz w:val="24"/>
                <w:lang w:val="de-DE"/>
              </w:rPr>
              <w:t>- Zuspitzung der Flüchtlingskrise 2015/2016</w:t>
            </w:r>
          </w:p>
          <w:p>
            <w:pPr>
              <w:pStyle w:val="7"/>
              <w:spacing w:line="25" w:lineRule="atLeast"/>
              <w:ind w:firstLine="0" w:firstLineChars="0"/>
              <w:jc w:val="left"/>
              <w:rPr>
                <w:sz w:val="24"/>
                <w:lang w:val="de-DE"/>
              </w:rPr>
            </w:pPr>
            <w:r>
              <w:rPr>
                <w:sz w:val="24"/>
                <w:lang w:val="de-DE"/>
              </w:rPr>
              <w:t>- Verhandlungen zwischen der EU und Libyen</w:t>
            </w:r>
          </w:p>
          <w:p>
            <w:pPr>
              <w:pStyle w:val="7"/>
              <w:ind w:firstLine="0" w:firstLineChars="0"/>
              <w:jc w:val="left"/>
              <w:rPr>
                <w:b/>
                <w:sz w:val="24"/>
                <w:lang w:val="de-DE"/>
              </w:rPr>
            </w:pPr>
            <w:r>
              <w:rPr>
                <w:rFonts w:hint="eastAsia"/>
                <w:b/>
                <w:sz w:val="24"/>
                <w:lang w:val="de-DE"/>
              </w:rPr>
              <w:t xml:space="preserve">3. </w:t>
            </w:r>
            <w:r>
              <w:rPr>
                <w:b/>
                <w:sz w:val="24"/>
                <w:lang w:val="de-DE"/>
              </w:rPr>
              <w:t>Brexit</w:t>
            </w:r>
          </w:p>
          <w:p>
            <w:pPr>
              <w:pStyle w:val="7"/>
              <w:ind w:firstLine="0" w:firstLineChars="0"/>
              <w:jc w:val="left"/>
              <w:rPr>
                <w:sz w:val="24"/>
                <w:lang w:val="de-DE"/>
              </w:rPr>
            </w:pPr>
            <w:r>
              <w:rPr>
                <w:sz w:val="24"/>
                <w:lang w:val="de-DE"/>
              </w:rPr>
              <w:t>-Brexit-Referendum</w:t>
            </w:r>
          </w:p>
          <w:p>
            <w:pPr>
              <w:pStyle w:val="7"/>
              <w:ind w:firstLine="0" w:firstLineChars="0"/>
              <w:jc w:val="left"/>
              <w:rPr>
                <w:sz w:val="24"/>
                <w:lang w:val="de-DE"/>
              </w:rPr>
            </w:pPr>
            <w:r>
              <w:rPr>
                <w:sz w:val="24"/>
                <w:lang w:val="de-DE"/>
              </w:rPr>
              <w:t>- Kritik der Briten an der EU</w:t>
            </w:r>
          </w:p>
          <w:p>
            <w:pPr>
              <w:pStyle w:val="7"/>
              <w:ind w:firstLine="0" w:firstLineChars="0"/>
              <w:jc w:val="left"/>
              <w:rPr>
                <w:sz w:val="24"/>
                <w:lang w:val="de-DE"/>
              </w:rPr>
            </w:pPr>
            <w:r>
              <w:rPr>
                <w:sz w:val="24"/>
                <w:lang w:val="de-DE"/>
              </w:rPr>
              <w:t>- Verlust für Europa</w:t>
            </w:r>
          </w:p>
          <w:p>
            <w:pPr>
              <w:pStyle w:val="7"/>
              <w:ind w:firstLine="0" w:firstLineChars="0"/>
              <w:jc w:val="left"/>
              <w:rPr>
                <w:sz w:val="24"/>
                <w:lang w:val="de-DE"/>
              </w:rPr>
            </w:pPr>
            <w:r>
              <w:rPr>
                <w:sz w:val="24"/>
                <w:lang w:val="de-DE"/>
              </w:rPr>
              <w:t>- Verlust für das Vereinigte Königreich</w:t>
            </w:r>
          </w:p>
          <w:p>
            <w:pPr>
              <w:pStyle w:val="7"/>
              <w:spacing w:line="25" w:lineRule="atLeast"/>
              <w:ind w:firstLine="0" w:firstLineChars="0"/>
              <w:jc w:val="left"/>
              <w:rPr>
                <w:b/>
                <w:sz w:val="24"/>
                <w:lang w:val="de-DE"/>
              </w:rPr>
            </w:pPr>
            <w:r>
              <w:rPr>
                <w:sz w:val="24"/>
              </w:rPr>
              <w:t>- Austrittsverfahren</w:t>
            </w:r>
          </w:p>
        </w:tc>
        <w:tc>
          <w:tcPr>
            <w:tcW w:w="2805" w:type="dxa"/>
            <w:vAlign w:val="center"/>
          </w:tcPr>
          <w:p>
            <w:pPr>
              <w:snapToGrid w:val="0"/>
              <w:spacing w:before="78" w:beforeLines="25"/>
              <w:rPr>
                <w:sz w:val="24"/>
                <w:lang w:val="de-DE"/>
              </w:rPr>
            </w:pPr>
            <w:r>
              <w:rPr>
                <w:rFonts w:hint="eastAsia"/>
                <w:sz w:val="24"/>
                <w:lang w:val="de-DE"/>
              </w:rPr>
              <w:t>第六章：欧盟危机</w:t>
            </w:r>
          </w:p>
          <w:p>
            <w:pPr>
              <w:snapToGrid w:val="0"/>
              <w:spacing w:before="78" w:beforeLines="25"/>
              <w:rPr>
                <w:sz w:val="24"/>
                <w:lang w:val="de-DE"/>
              </w:rPr>
            </w:pPr>
            <w:r>
              <w:rPr>
                <w:rFonts w:hint="eastAsia"/>
                <w:sz w:val="24"/>
                <w:lang w:val="de-DE"/>
              </w:rPr>
              <w:t>1.</w:t>
            </w:r>
            <w:r>
              <w:rPr>
                <w:sz w:val="24"/>
                <w:lang w:val="de-DE"/>
              </w:rPr>
              <w:t xml:space="preserve"> </w:t>
            </w:r>
            <w:r>
              <w:rPr>
                <w:rFonts w:hint="eastAsia"/>
                <w:sz w:val="24"/>
                <w:lang w:val="de-DE"/>
              </w:rPr>
              <w:t>财政危机</w:t>
            </w:r>
          </w:p>
          <w:p>
            <w:pPr>
              <w:snapToGrid w:val="0"/>
              <w:spacing w:before="78" w:beforeLines="25"/>
              <w:rPr>
                <w:sz w:val="24"/>
                <w:lang w:val="de-DE"/>
              </w:rPr>
            </w:pPr>
            <w:r>
              <w:rPr>
                <w:rFonts w:hint="eastAsia"/>
                <w:sz w:val="24"/>
                <w:lang w:val="de-DE"/>
              </w:rPr>
              <w:t>2.</w:t>
            </w:r>
            <w:r>
              <w:rPr>
                <w:sz w:val="24"/>
                <w:lang w:val="de-DE"/>
              </w:rPr>
              <w:t xml:space="preserve"> </w:t>
            </w:r>
            <w:r>
              <w:rPr>
                <w:rFonts w:hint="eastAsia"/>
                <w:sz w:val="24"/>
                <w:lang w:val="de-DE"/>
              </w:rPr>
              <w:t>难民危机</w:t>
            </w:r>
          </w:p>
          <w:p>
            <w:pPr>
              <w:snapToGrid w:val="0"/>
              <w:spacing w:before="78" w:beforeLines="25"/>
              <w:rPr>
                <w:sz w:val="24"/>
                <w:lang w:val="de-DE"/>
              </w:rPr>
            </w:pPr>
            <w:r>
              <w:rPr>
                <w:rFonts w:hint="eastAsia"/>
                <w:sz w:val="24"/>
                <w:lang w:val="de-DE"/>
              </w:rPr>
              <w:t>3</w:t>
            </w:r>
            <w:r>
              <w:rPr>
                <w:sz w:val="24"/>
                <w:lang w:val="de-DE"/>
              </w:rPr>
              <w:t xml:space="preserve">. </w:t>
            </w:r>
            <w:r>
              <w:rPr>
                <w:rFonts w:hint="eastAsia"/>
                <w:sz w:val="24"/>
                <w:lang w:val="de-DE"/>
              </w:rPr>
              <w:t>英国脱欧</w:t>
            </w:r>
          </w:p>
          <w:p>
            <w:pPr>
              <w:snapToGrid w:val="0"/>
              <w:spacing w:before="78" w:beforeLines="25"/>
              <w:rPr>
                <w:sz w:val="24"/>
                <w:lang w:val="de-DE"/>
              </w:rPr>
            </w:pPr>
            <w:r>
              <w:rPr>
                <w:rFonts w:hint="eastAsia" w:ascii="宋体" w:hAnsi="宋体"/>
                <w:sz w:val="24"/>
                <w:lang w:val="de-DE"/>
              </w:rPr>
              <w:t>了解欧盟近年面临的系列危机，其爆发原因以及带来的影响和后果</w:t>
            </w:r>
          </w:p>
        </w:tc>
        <w:tc>
          <w:tcPr>
            <w:tcW w:w="661"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8</w:t>
            </w:r>
          </w:p>
        </w:tc>
        <w:tc>
          <w:tcPr>
            <w:tcW w:w="4327" w:type="dxa"/>
            <w:vAlign w:val="center"/>
          </w:tcPr>
          <w:p>
            <w:pPr>
              <w:spacing w:line="25" w:lineRule="atLeast"/>
              <w:jc w:val="left"/>
              <w:rPr>
                <w:b/>
                <w:bCs/>
                <w:sz w:val="24"/>
                <w:lang w:val="de-DE"/>
              </w:rPr>
            </w:pPr>
            <w:r>
              <w:rPr>
                <w:b/>
                <w:bCs/>
                <w:sz w:val="24"/>
                <w:lang w:val="de-DE"/>
              </w:rPr>
              <w:t xml:space="preserve">Einheit </w:t>
            </w:r>
            <w:r>
              <w:rPr>
                <w:rFonts w:hint="eastAsia"/>
                <w:b/>
                <w:bCs/>
                <w:sz w:val="24"/>
                <w:lang w:val="de-DE"/>
              </w:rPr>
              <w:t>7</w:t>
            </w:r>
            <w:r>
              <w:rPr>
                <w:b/>
                <w:bCs/>
                <w:sz w:val="24"/>
                <w:lang w:val="de-DE"/>
              </w:rPr>
              <w:t xml:space="preserve"> Außenbeziehungen der Europäischen Union</w:t>
            </w:r>
          </w:p>
          <w:p>
            <w:pPr>
              <w:spacing w:line="25" w:lineRule="atLeast"/>
              <w:jc w:val="left"/>
              <w:rPr>
                <w:b/>
                <w:sz w:val="24"/>
                <w:lang w:val="de-DE"/>
              </w:rPr>
            </w:pPr>
            <w:r>
              <w:rPr>
                <w:rFonts w:hint="eastAsia"/>
                <w:b/>
                <w:bCs/>
                <w:sz w:val="24"/>
                <w:lang w:val="de-DE"/>
              </w:rPr>
              <w:t xml:space="preserve">1. </w:t>
            </w:r>
            <w:r>
              <w:rPr>
                <w:b/>
                <w:sz w:val="24"/>
                <w:lang w:val="de-DE"/>
              </w:rPr>
              <w:t>EU-Beitritt der Türkei</w:t>
            </w:r>
          </w:p>
          <w:p>
            <w:pPr>
              <w:spacing w:line="25" w:lineRule="atLeast"/>
              <w:jc w:val="left"/>
              <w:rPr>
                <w:bCs/>
                <w:sz w:val="24"/>
                <w:lang w:val="de-DE"/>
              </w:rPr>
            </w:pPr>
            <w:r>
              <w:rPr>
                <w:sz w:val="24"/>
                <w:lang w:val="de-DE"/>
              </w:rPr>
              <w:t>-</w:t>
            </w:r>
            <w:r>
              <w:rPr>
                <w:rFonts w:hint="eastAsia"/>
                <w:sz w:val="24"/>
                <w:lang w:val="de-DE"/>
              </w:rPr>
              <w:t xml:space="preserve"> R</w:t>
            </w:r>
            <w:r>
              <w:rPr>
                <w:bCs/>
                <w:sz w:val="24"/>
                <w:lang w:val="de-DE"/>
              </w:rPr>
              <w:t>epublik Türkei</w:t>
            </w:r>
          </w:p>
          <w:p>
            <w:pPr>
              <w:spacing w:line="25" w:lineRule="atLeast"/>
              <w:jc w:val="left"/>
              <w:rPr>
                <w:bCs/>
                <w:sz w:val="24"/>
                <w:lang w:val="de-DE"/>
              </w:rPr>
            </w:pPr>
            <w:r>
              <w:rPr>
                <w:bCs/>
                <w:sz w:val="24"/>
                <w:lang w:val="de-DE"/>
              </w:rPr>
              <w:t>-</w:t>
            </w:r>
            <w:r>
              <w:rPr>
                <w:rFonts w:hint="eastAsia"/>
                <w:bCs/>
                <w:sz w:val="24"/>
                <w:lang w:val="de-DE"/>
              </w:rPr>
              <w:t xml:space="preserve"> Geschichte</w:t>
            </w:r>
          </w:p>
          <w:p>
            <w:pPr>
              <w:spacing w:line="25" w:lineRule="atLeast"/>
              <w:jc w:val="left"/>
              <w:rPr>
                <w:bCs/>
                <w:sz w:val="24"/>
                <w:lang w:val="de-DE"/>
              </w:rPr>
            </w:pPr>
            <w:r>
              <w:rPr>
                <w:bCs/>
                <w:sz w:val="24"/>
                <w:lang w:val="de-DE"/>
              </w:rPr>
              <w:t>-</w:t>
            </w:r>
            <w:r>
              <w:rPr>
                <w:rFonts w:hint="eastAsia"/>
                <w:bCs/>
                <w:sz w:val="24"/>
                <w:lang w:val="de-DE"/>
              </w:rPr>
              <w:t xml:space="preserve"> </w:t>
            </w:r>
            <w:r>
              <w:rPr>
                <w:bCs/>
                <w:sz w:val="24"/>
                <w:lang w:val="de-DE"/>
              </w:rPr>
              <w:t>Motive der Türkei</w:t>
            </w:r>
          </w:p>
          <w:p>
            <w:pPr>
              <w:spacing w:line="25" w:lineRule="atLeast"/>
              <w:jc w:val="left"/>
              <w:rPr>
                <w:bCs/>
                <w:sz w:val="24"/>
                <w:lang w:val="de-DE"/>
              </w:rPr>
            </w:pPr>
            <w:r>
              <w:rPr>
                <w:bCs/>
                <w:sz w:val="24"/>
                <w:lang w:val="de-DE"/>
              </w:rPr>
              <w:t>-</w:t>
            </w:r>
            <w:r>
              <w:rPr>
                <w:rFonts w:hint="eastAsia"/>
                <w:bCs/>
                <w:sz w:val="24"/>
                <w:lang w:val="de-DE"/>
              </w:rPr>
              <w:t xml:space="preserve"> </w:t>
            </w:r>
            <w:r>
              <w:rPr>
                <w:bCs/>
                <w:sz w:val="24"/>
                <w:lang w:val="de-DE"/>
              </w:rPr>
              <w:t>Motive der EWG</w:t>
            </w:r>
          </w:p>
          <w:p>
            <w:pPr>
              <w:spacing w:line="25" w:lineRule="atLeast"/>
              <w:jc w:val="left"/>
              <w:rPr>
                <w:bCs/>
                <w:sz w:val="24"/>
                <w:lang w:val="de-DE"/>
              </w:rPr>
            </w:pPr>
            <w:r>
              <w:rPr>
                <w:bCs/>
                <w:sz w:val="24"/>
                <w:lang w:val="de-DE"/>
              </w:rPr>
              <w:t>-</w:t>
            </w:r>
            <w:r>
              <w:rPr>
                <w:rFonts w:hint="eastAsia"/>
                <w:bCs/>
                <w:sz w:val="24"/>
                <w:lang w:val="de-DE"/>
              </w:rPr>
              <w:t xml:space="preserve"> </w:t>
            </w:r>
            <w:r>
              <w:rPr>
                <w:bCs/>
                <w:sz w:val="24"/>
                <w:lang w:val="de-DE"/>
              </w:rPr>
              <w:t>Prozess des EU-Beitritts</w:t>
            </w:r>
          </w:p>
          <w:p>
            <w:pPr>
              <w:pStyle w:val="7"/>
              <w:spacing w:line="25" w:lineRule="atLeast"/>
              <w:ind w:firstLine="0" w:firstLineChars="0"/>
              <w:jc w:val="left"/>
              <w:rPr>
                <w:bCs/>
                <w:sz w:val="24"/>
                <w:lang w:val="de-DE"/>
              </w:rPr>
            </w:pPr>
            <w:r>
              <w:rPr>
                <w:bCs/>
                <w:sz w:val="24"/>
                <w:lang w:val="de-DE"/>
              </w:rPr>
              <w:t>-</w:t>
            </w:r>
            <w:r>
              <w:rPr>
                <w:rFonts w:hint="eastAsia"/>
                <w:bCs/>
                <w:sz w:val="24"/>
                <w:lang w:val="de-DE"/>
              </w:rPr>
              <w:t xml:space="preserve"> </w:t>
            </w:r>
            <w:r>
              <w:rPr>
                <w:bCs/>
                <w:sz w:val="24"/>
                <w:lang w:val="de-DE"/>
              </w:rPr>
              <w:t>Probleme 2016-2017</w:t>
            </w:r>
          </w:p>
          <w:p>
            <w:pPr>
              <w:spacing w:line="25" w:lineRule="atLeast"/>
              <w:jc w:val="left"/>
              <w:rPr>
                <w:b/>
                <w:sz w:val="24"/>
                <w:lang w:val="de-DE"/>
              </w:rPr>
            </w:pPr>
            <w:r>
              <w:rPr>
                <w:rFonts w:hint="eastAsia"/>
                <w:b/>
                <w:sz w:val="24"/>
                <w:lang w:val="de-DE"/>
              </w:rPr>
              <w:t xml:space="preserve">2. </w:t>
            </w:r>
            <w:r>
              <w:rPr>
                <w:b/>
                <w:sz w:val="24"/>
                <w:lang w:val="de-DE"/>
              </w:rPr>
              <w:t>EU und Russland</w:t>
            </w:r>
          </w:p>
          <w:p>
            <w:pPr>
              <w:spacing w:line="25" w:lineRule="atLeast"/>
              <w:jc w:val="left"/>
              <w:rPr>
                <w:bCs/>
                <w:sz w:val="24"/>
                <w:lang w:val="de-DE"/>
              </w:rPr>
            </w:pPr>
            <w:r>
              <w:rPr>
                <w:sz w:val="24"/>
                <w:lang w:val="de-DE"/>
              </w:rPr>
              <w:t>-</w:t>
            </w:r>
            <w:r>
              <w:rPr>
                <w:rFonts w:hint="eastAsia"/>
                <w:sz w:val="24"/>
                <w:lang w:val="de-DE"/>
              </w:rPr>
              <w:t xml:space="preserve"> </w:t>
            </w:r>
            <w:r>
              <w:rPr>
                <w:bCs/>
                <w:sz w:val="24"/>
                <w:lang w:val="de-DE"/>
              </w:rPr>
              <w:t>Russische Föderation</w:t>
            </w:r>
          </w:p>
          <w:p>
            <w:pPr>
              <w:spacing w:line="25" w:lineRule="atLeast"/>
              <w:jc w:val="left"/>
              <w:rPr>
                <w:bCs/>
                <w:sz w:val="24"/>
                <w:lang w:val="de-DE"/>
              </w:rPr>
            </w:pPr>
            <w:r>
              <w:rPr>
                <w:bCs/>
                <w:sz w:val="24"/>
                <w:lang w:val="de-DE"/>
              </w:rPr>
              <w:t>-</w:t>
            </w:r>
            <w:r>
              <w:rPr>
                <w:rFonts w:hint="eastAsia"/>
                <w:bCs/>
                <w:sz w:val="24"/>
                <w:lang w:val="de-DE"/>
              </w:rPr>
              <w:t xml:space="preserve"> Geschichte</w:t>
            </w:r>
          </w:p>
          <w:p>
            <w:pPr>
              <w:spacing w:line="25" w:lineRule="atLeast"/>
              <w:jc w:val="left"/>
              <w:rPr>
                <w:bCs/>
                <w:sz w:val="24"/>
                <w:lang w:val="de-DE"/>
              </w:rPr>
            </w:pPr>
            <w:r>
              <w:rPr>
                <w:bCs/>
                <w:sz w:val="24"/>
                <w:lang w:val="de-DE"/>
              </w:rPr>
              <w:t>-</w:t>
            </w:r>
            <w:r>
              <w:rPr>
                <w:rFonts w:hint="eastAsia"/>
                <w:bCs/>
                <w:sz w:val="24"/>
                <w:lang w:val="de-DE"/>
              </w:rPr>
              <w:t xml:space="preserve"> </w:t>
            </w:r>
            <w:r>
              <w:rPr>
                <w:bCs/>
                <w:sz w:val="24"/>
                <w:lang w:val="de-DE"/>
              </w:rPr>
              <w:t>Partnerschaft</w:t>
            </w:r>
          </w:p>
          <w:p>
            <w:pPr>
              <w:spacing w:line="25" w:lineRule="atLeast"/>
              <w:jc w:val="left"/>
              <w:rPr>
                <w:bCs/>
                <w:sz w:val="24"/>
                <w:lang w:val="de-DE"/>
              </w:rPr>
            </w:pPr>
            <w:r>
              <w:rPr>
                <w:bCs/>
                <w:sz w:val="24"/>
                <w:lang w:val="de-DE"/>
              </w:rPr>
              <w:t>-</w:t>
            </w:r>
            <w:r>
              <w:rPr>
                <w:rFonts w:hint="eastAsia"/>
                <w:bCs/>
                <w:sz w:val="24"/>
                <w:lang w:val="de-DE"/>
              </w:rPr>
              <w:t xml:space="preserve"> </w:t>
            </w:r>
            <w:r>
              <w:rPr>
                <w:bCs/>
                <w:sz w:val="24"/>
                <w:lang w:val="de-DE"/>
              </w:rPr>
              <w:t>Probleme und Konflikte</w:t>
            </w:r>
          </w:p>
          <w:p>
            <w:pPr>
              <w:spacing w:line="25" w:lineRule="atLeast"/>
              <w:jc w:val="left"/>
              <w:rPr>
                <w:b/>
                <w:sz w:val="24"/>
                <w:lang w:val="de-DE"/>
              </w:rPr>
            </w:pPr>
            <w:r>
              <w:rPr>
                <w:rFonts w:hint="eastAsia"/>
                <w:b/>
                <w:sz w:val="24"/>
                <w:lang w:val="de-DE"/>
              </w:rPr>
              <w:t xml:space="preserve">3. </w:t>
            </w:r>
            <w:r>
              <w:rPr>
                <w:b/>
                <w:sz w:val="24"/>
                <w:lang w:val="de-DE"/>
              </w:rPr>
              <w:t>Chinesi</w:t>
            </w:r>
            <w:r>
              <w:rPr>
                <w:rFonts w:hint="eastAsia"/>
                <w:b/>
                <w:sz w:val="24"/>
                <w:lang w:val="de-DE"/>
              </w:rPr>
              <w:t>s</w:t>
            </w:r>
            <w:r>
              <w:rPr>
                <w:b/>
                <w:sz w:val="24"/>
                <w:lang w:val="de-DE"/>
              </w:rPr>
              <w:t>ch-europäische Beziehungen</w:t>
            </w:r>
          </w:p>
          <w:p>
            <w:pPr>
              <w:spacing w:line="25" w:lineRule="atLeast"/>
              <w:jc w:val="left"/>
              <w:rPr>
                <w:bCs/>
                <w:sz w:val="24"/>
                <w:lang w:val="de-DE"/>
              </w:rPr>
            </w:pPr>
            <w:r>
              <w:rPr>
                <w:bCs/>
                <w:sz w:val="24"/>
                <w:lang w:val="de-DE"/>
              </w:rPr>
              <w:t>- 4 Phasen</w:t>
            </w:r>
          </w:p>
          <w:p>
            <w:pPr>
              <w:spacing w:line="25" w:lineRule="atLeast"/>
              <w:jc w:val="left"/>
              <w:rPr>
                <w:sz w:val="24"/>
                <w:lang w:val="de-DE"/>
              </w:rPr>
            </w:pPr>
            <w:r>
              <w:rPr>
                <w:sz w:val="24"/>
                <w:lang w:val="de-DE"/>
              </w:rPr>
              <w:t>-</w:t>
            </w:r>
            <w:r>
              <w:rPr>
                <w:rFonts w:hint="eastAsia"/>
                <w:sz w:val="24"/>
                <w:lang w:val="de-DE"/>
              </w:rPr>
              <w:t xml:space="preserve"> </w:t>
            </w:r>
            <w:r>
              <w:rPr>
                <w:sz w:val="24"/>
                <w:lang w:val="de-DE"/>
              </w:rPr>
              <w:t>Ziele der EU</w:t>
            </w:r>
          </w:p>
          <w:p>
            <w:pPr>
              <w:spacing w:line="25" w:lineRule="atLeast"/>
              <w:jc w:val="left"/>
              <w:rPr>
                <w:sz w:val="24"/>
                <w:lang w:val="de-DE"/>
              </w:rPr>
            </w:pPr>
            <w:r>
              <w:rPr>
                <w:sz w:val="24"/>
                <w:lang w:val="de-DE"/>
              </w:rPr>
              <w:t>-</w:t>
            </w:r>
            <w:r>
              <w:rPr>
                <w:rFonts w:hint="eastAsia"/>
                <w:sz w:val="24"/>
                <w:lang w:val="de-DE"/>
              </w:rPr>
              <w:t xml:space="preserve"> </w:t>
            </w:r>
            <w:r>
              <w:rPr>
                <w:sz w:val="24"/>
                <w:lang w:val="de-DE"/>
              </w:rPr>
              <w:t>Streitpunkte</w:t>
            </w:r>
          </w:p>
          <w:p>
            <w:pPr>
              <w:spacing w:line="25" w:lineRule="atLeast"/>
              <w:jc w:val="left"/>
              <w:rPr>
                <w:sz w:val="24"/>
                <w:lang w:val="de-DE"/>
              </w:rPr>
            </w:pPr>
            <w:r>
              <w:rPr>
                <w:sz w:val="24"/>
                <w:lang w:val="de-DE"/>
              </w:rPr>
              <w:t>-</w:t>
            </w:r>
            <w:r>
              <w:rPr>
                <w:rFonts w:hint="eastAsia"/>
                <w:sz w:val="24"/>
                <w:lang w:val="de-DE"/>
              </w:rPr>
              <w:t xml:space="preserve"> </w:t>
            </w:r>
            <w:r>
              <w:rPr>
                <w:sz w:val="24"/>
                <w:lang w:val="de-DE"/>
              </w:rPr>
              <w:t>Chancen</w:t>
            </w:r>
          </w:p>
          <w:p>
            <w:pPr>
              <w:pStyle w:val="7"/>
              <w:spacing w:line="25" w:lineRule="atLeast"/>
              <w:ind w:firstLine="0" w:firstLineChars="0"/>
              <w:jc w:val="left"/>
              <w:rPr>
                <w:sz w:val="24"/>
                <w:lang w:val="de-DE"/>
              </w:rPr>
            </w:pPr>
            <w:r>
              <w:rPr>
                <w:sz w:val="24"/>
                <w:lang w:val="de-DE"/>
              </w:rPr>
              <w:t>-</w:t>
            </w:r>
            <w:r>
              <w:rPr>
                <w:rFonts w:hint="eastAsia"/>
                <w:sz w:val="24"/>
                <w:lang w:val="de-DE"/>
              </w:rPr>
              <w:t xml:space="preserve"> </w:t>
            </w:r>
            <w:r>
              <w:rPr>
                <w:sz w:val="24"/>
                <w:lang w:val="de-DE"/>
              </w:rPr>
              <w:t>Hindernisse</w:t>
            </w:r>
          </w:p>
        </w:tc>
        <w:tc>
          <w:tcPr>
            <w:tcW w:w="2805" w:type="dxa"/>
            <w:vAlign w:val="center"/>
          </w:tcPr>
          <w:p>
            <w:pPr>
              <w:snapToGrid w:val="0"/>
              <w:spacing w:before="78" w:beforeLines="25"/>
              <w:rPr>
                <w:rFonts w:ascii="宋体" w:hAnsi="宋体"/>
                <w:sz w:val="24"/>
              </w:rPr>
            </w:pPr>
            <w:r>
              <w:rPr>
                <w:rFonts w:hint="eastAsia" w:ascii="宋体" w:hAnsi="宋体"/>
                <w:sz w:val="24"/>
              </w:rPr>
              <w:t>第七章：欧盟对外关系</w:t>
            </w:r>
          </w:p>
          <w:p>
            <w:pPr>
              <w:snapToGrid w:val="0"/>
              <w:spacing w:before="78" w:beforeLines="25"/>
              <w:rPr>
                <w:rFonts w:ascii="宋体" w:hAnsi="宋体"/>
                <w:sz w:val="24"/>
                <w:lang w:val="de-DE"/>
              </w:rPr>
            </w:pPr>
            <w:r>
              <w:rPr>
                <w:rFonts w:hint="eastAsia" w:ascii="宋体" w:hAnsi="宋体"/>
                <w:sz w:val="24"/>
              </w:rPr>
              <w:t>1.</w:t>
            </w:r>
            <w:r>
              <w:rPr>
                <w:rFonts w:ascii="宋体" w:hAnsi="宋体"/>
                <w:sz w:val="24"/>
              </w:rPr>
              <w:t xml:space="preserve"> </w:t>
            </w:r>
            <w:r>
              <w:rPr>
                <w:rFonts w:hint="eastAsia" w:ascii="宋体" w:hAnsi="宋体"/>
                <w:sz w:val="24"/>
                <w:lang w:val="de-DE"/>
              </w:rPr>
              <w:t>土耳其入盟程序</w:t>
            </w:r>
          </w:p>
          <w:p>
            <w:pPr>
              <w:snapToGrid w:val="0"/>
              <w:spacing w:before="78" w:beforeLines="25"/>
              <w:rPr>
                <w:rFonts w:ascii="宋体" w:hAnsi="宋体"/>
                <w:sz w:val="24"/>
                <w:lang w:val="de-DE"/>
              </w:rPr>
            </w:pPr>
            <w:r>
              <w:rPr>
                <w:rFonts w:hint="eastAsia" w:ascii="宋体" w:hAnsi="宋体"/>
                <w:sz w:val="24"/>
                <w:lang w:val="de-DE"/>
              </w:rPr>
              <w:t>2.</w:t>
            </w:r>
            <w:r>
              <w:rPr>
                <w:rFonts w:ascii="宋体" w:hAnsi="宋体"/>
                <w:sz w:val="24"/>
                <w:lang w:val="de-DE"/>
              </w:rPr>
              <w:t xml:space="preserve"> </w:t>
            </w:r>
            <w:r>
              <w:rPr>
                <w:rFonts w:hint="eastAsia" w:ascii="宋体" w:hAnsi="宋体"/>
                <w:sz w:val="24"/>
                <w:lang w:val="de-DE"/>
              </w:rPr>
              <w:t>欧俄关系</w:t>
            </w:r>
          </w:p>
          <w:p>
            <w:pPr>
              <w:snapToGrid w:val="0"/>
              <w:spacing w:before="78" w:beforeLines="25"/>
              <w:rPr>
                <w:rFonts w:ascii="宋体" w:hAnsi="宋体"/>
                <w:sz w:val="24"/>
                <w:lang w:val="de-DE"/>
              </w:rPr>
            </w:pPr>
            <w:r>
              <w:rPr>
                <w:rFonts w:hint="eastAsia" w:ascii="宋体" w:hAnsi="宋体"/>
                <w:sz w:val="24"/>
                <w:lang w:val="de-DE"/>
              </w:rPr>
              <w:t>3.</w:t>
            </w:r>
            <w:r>
              <w:rPr>
                <w:rFonts w:ascii="宋体" w:hAnsi="宋体"/>
                <w:sz w:val="24"/>
                <w:lang w:val="de-DE"/>
              </w:rPr>
              <w:t xml:space="preserve"> </w:t>
            </w:r>
            <w:r>
              <w:rPr>
                <w:rFonts w:hint="eastAsia" w:ascii="宋体" w:hAnsi="宋体"/>
                <w:sz w:val="24"/>
                <w:lang w:val="de-DE"/>
              </w:rPr>
              <w:t>中欧关系</w:t>
            </w:r>
          </w:p>
          <w:p>
            <w:pPr>
              <w:snapToGrid w:val="0"/>
              <w:spacing w:before="78" w:beforeLines="25"/>
              <w:rPr>
                <w:sz w:val="24"/>
                <w:lang w:val="de-DE"/>
              </w:rPr>
            </w:pPr>
            <w:r>
              <w:rPr>
                <w:rFonts w:hint="eastAsia" w:ascii="宋体" w:hAnsi="宋体"/>
                <w:sz w:val="24"/>
                <w:lang w:val="de-DE"/>
              </w:rPr>
              <w:t>了解欧洲和土耳其的渊源以及土耳其申请加入欧盟的经过，欧盟与俄罗斯之间的关系和冲突，中欧关系的历史发展以及双方之间的矛盾与机会</w:t>
            </w:r>
          </w:p>
        </w:tc>
        <w:tc>
          <w:tcPr>
            <w:tcW w:w="661"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Pr>
          <w:p>
            <w:pPr>
              <w:snapToGrid w:val="0"/>
              <w:spacing w:before="78" w:beforeLines="25"/>
              <w:ind w:firstLine="105" w:firstLineChars="50"/>
              <w:jc w:val="center"/>
              <w:rPr>
                <w:szCs w:val="21"/>
              </w:rPr>
            </w:pPr>
            <w:r>
              <w:rPr>
                <w:rFonts w:hint="eastAsia"/>
                <w:szCs w:val="21"/>
              </w:rPr>
              <w:t>9</w:t>
            </w:r>
          </w:p>
        </w:tc>
        <w:tc>
          <w:tcPr>
            <w:tcW w:w="4327" w:type="dxa"/>
            <w:vAlign w:val="center"/>
          </w:tcPr>
          <w:p>
            <w:pPr>
              <w:pStyle w:val="7"/>
              <w:spacing w:line="25" w:lineRule="atLeast"/>
              <w:ind w:firstLine="0" w:firstLineChars="0"/>
              <w:jc w:val="left"/>
              <w:rPr>
                <w:b/>
                <w:sz w:val="24"/>
                <w:lang w:val="de-DE"/>
              </w:rPr>
            </w:pPr>
            <w:r>
              <w:rPr>
                <w:rFonts w:hint="eastAsia"/>
                <w:b/>
                <w:sz w:val="24"/>
                <w:lang w:val="de-DE"/>
              </w:rPr>
              <w:t>期末复习</w:t>
            </w:r>
          </w:p>
        </w:tc>
        <w:tc>
          <w:tcPr>
            <w:tcW w:w="2805" w:type="dxa"/>
            <w:vAlign w:val="center"/>
          </w:tcPr>
          <w:p>
            <w:pPr>
              <w:snapToGrid w:val="0"/>
              <w:spacing w:before="78" w:beforeLines="25"/>
              <w:rPr>
                <w:sz w:val="24"/>
                <w:lang w:val="de-DE"/>
              </w:rPr>
            </w:pPr>
          </w:p>
        </w:tc>
        <w:tc>
          <w:tcPr>
            <w:tcW w:w="661" w:type="dxa"/>
            <w:vAlign w:val="center"/>
          </w:tcPr>
          <w:p>
            <w:pPr>
              <w:snapToGrid w:val="0"/>
              <w:spacing w:before="78" w:beforeLines="25"/>
              <w:ind w:firstLine="105" w:firstLineChars="50"/>
              <w:rPr>
                <w:rFonts w:ascii="宋体" w:hAnsi="宋体"/>
                <w:szCs w:val="21"/>
                <w:lang w:val="de-DE"/>
              </w:rPr>
            </w:pPr>
            <w:r>
              <w:rPr>
                <w:rFonts w:hint="eastAsia" w:ascii="宋体" w:hAnsi="宋体"/>
                <w:szCs w:val="21"/>
                <w:lang w:val="de-DE"/>
              </w:rPr>
              <w:t>2</w:t>
            </w:r>
          </w:p>
        </w:tc>
      </w:tr>
    </w:tbl>
    <w:p>
      <w:pPr>
        <w:snapToGrid w:val="0"/>
        <w:spacing w:before="156" w:beforeLines="50" w:line="360" w:lineRule="auto"/>
        <w:rPr>
          <w:rFonts w:ascii="黑体" w:hAnsi="宋体" w:eastAsia="黑体"/>
          <w:sz w:val="28"/>
          <w:szCs w:val="28"/>
        </w:rPr>
      </w:pPr>
      <w:r>
        <w:rPr>
          <w:rFonts w:hint="eastAsia" w:ascii="黑体" w:hAnsi="宋体" w:eastAsia="黑体"/>
          <w:sz w:val="28"/>
          <w:szCs w:val="28"/>
        </w:rPr>
        <w:t>四、主要教学方法与手段</w:t>
      </w:r>
    </w:p>
    <w:p>
      <w:pPr>
        <w:spacing w:line="25" w:lineRule="atLeast"/>
        <w:ind w:firstLine="600" w:firstLineChars="250"/>
        <w:rPr>
          <w:sz w:val="24"/>
          <w:lang w:val="de-DE"/>
        </w:rPr>
      </w:pPr>
      <w:r>
        <w:rPr>
          <w:rFonts w:hint="eastAsia"/>
          <w:sz w:val="24"/>
          <w:lang w:val="de-DE"/>
        </w:rPr>
        <w:t>教师课堂讲授与学生小组报告相结合。</w:t>
      </w:r>
    </w:p>
    <w:p>
      <w:pPr>
        <w:snapToGrid w:val="0"/>
        <w:spacing w:before="156" w:beforeLines="50" w:line="360" w:lineRule="auto"/>
        <w:rPr>
          <w:rFonts w:ascii="黑体" w:hAnsi="宋体" w:eastAsia="黑体"/>
          <w:sz w:val="28"/>
          <w:szCs w:val="28"/>
        </w:rPr>
      </w:pPr>
      <w:r>
        <w:rPr>
          <w:rFonts w:hint="eastAsia" w:ascii="黑体" w:hAnsi="宋体" w:eastAsia="黑体"/>
          <w:sz w:val="28"/>
          <w:szCs w:val="28"/>
        </w:rPr>
        <w:t>五、课程考核和成绩评定</w:t>
      </w:r>
    </w:p>
    <w:p>
      <w:pPr>
        <w:spacing w:line="25" w:lineRule="atLeast"/>
        <w:ind w:firstLine="600" w:firstLineChars="250"/>
      </w:pPr>
      <w:r>
        <w:rPr>
          <w:sz w:val="24"/>
          <w:lang w:val="de-DE"/>
        </w:rPr>
        <w:t>课程学期成绩由平时课堂表现和期末考</w:t>
      </w:r>
      <w:r>
        <w:rPr>
          <w:rFonts w:hint="eastAsia"/>
          <w:sz w:val="24"/>
          <w:lang w:val="de-DE"/>
        </w:rPr>
        <w:t>查</w:t>
      </w:r>
      <w:r>
        <w:rPr>
          <w:sz w:val="24"/>
          <w:lang w:val="de-DE"/>
        </w:rPr>
        <w:t>成绩两部分组成。平时成绩占50%，期末成绩占50%。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ȭхڢ, ڌ墬 Verdana">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410507"/>
    <w:multiLevelType w:val="multilevel"/>
    <w:tmpl w:val="634105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43A"/>
    <w:rsid w:val="00022F38"/>
    <w:rsid w:val="000259D5"/>
    <w:rsid w:val="000340B7"/>
    <w:rsid w:val="000476C0"/>
    <w:rsid w:val="00052D92"/>
    <w:rsid w:val="000E33BA"/>
    <w:rsid w:val="001726B6"/>
    <w:rsid w:val="00182D5F"/>
    <w:rsid w:val="001835DB"/>
    <w:rsid w:val="001851F3"/>
    <w:rsid w:val="0018659A"/>
    <w:rsid w:val="001978F4"/>
    <w:rsid w:val="001D4F8C"/>
    <w:rsid w:val="001D7638"/>
    <w:rsid w:val="001F19C0"/>
    <w:rsid w:val="001F671F"/>
    <w:rsid w:val="002659AD"/>
    <w:rsid w:val="002738B2"/>
    <w:rsid w:val="002D7848"/>
    <w:rsid w:val="00352EFE"/>
    <w:rsid w:val="00362141"/>
    <w:rsid w:val="00384F0A"/>
    <w:rsid w:val="003A2941"/>
    <w:rsid w:val="003E39F9"/>
    <w:rsid w:val="0042340D"/>
    <w:rsid w:val="00452103"/>
    <w:rsid w:val="00460439"/>
    <w:rsid w:val="00484062"/>
    <w:rsid w:val="004A3FB6"/>
    <w:rsid w:val="004C3082"/>
    <w:rsid w:val="004F5BE9"/>
    <w:rsid w:val="005704E8"/>
    <w:rsid w:val="00587417"/>
    <w:rsid w:val="005923ED"/>
    <w:rsid w:val="005C341E"/>
    <w:rsid w:val="005E6129"/>
    <w:rsid w:val="00626E74"/>
    <w:rsid w:val="00630B08"/>
    <w:rsid w:val="00665A2A"/>
    <w:rsid w:val="00672809"/>
    <w:rsid w:val="006856BF"/>
    <w:rsid w:val="0069169E"/>
    <w:rsid w:val="006B060F"/>
    <w:rsid w:val="006D1AD4"/>
    <w:rsid w:val="00760B8F"/>
    <w:rsid w:val="00794C09"/>
    <w:rsid w:val="007A48F8"/>
    <w:rsid w:val="007B4F96"/>
    <w:rsid w:val="007C2ED4"/>
    <w:rsid w:val="007D51CB"/>
    <w:rsid w:val="007E4FBD"/>
    <w:rsid w:val="0080699B"/>
    <w:rsid w:val="0081111B"/>
    <w:rsid w:val="00876522"/>
    <w:rsid w:val="0087712F"/>
    <w:rsid w:val="008778DB"/>
    <w:rsid w:val="00894538"/>
    <w:rsid w:val="008B1A8A"/>
    <w:rsid w:val="008C177C"/>
    <w:rsid w:val="008C563B"/>
    <w:rsid w:val="008C5973"/>
    <w:rsid w:val="00910703"/>
    <w:rsid w:val="00924F2C"/>
    <w:rsid w:val="009A2090"/>
    <w:rsid w:val="009D1E0F"/>
    <w:rsid w:val="009E73DC"/>
    <w:rsid w:val="00A35DB0"/>
    <w:rsid w:val="00AA039C"/>
    <w:rsid w:val="00AA2725"/>
    <w:rsid w:val="00AC1DA8"/>
    <w:rsid w:val="00B41B9A"/>
    <w:rsid w:val="00B44E5D"/>
    <w:rsid w:val="00B653DA"/>
    <w:rsid w:val="00B66ABE"/>
    <w:rsid w:val="00B86230"/>
    <w:rsid w:val="00B90890"/>
    <w:rsid w:val="00B92ABB"/>
    <w:rsid w:val="00BA2E4F"/>
    <w:rsid w:val="00BB4A1E"/>
    <w:rsid w:val="00BE2E1D"/>
    <w:rsid w:val="00BF70FE"/>
    <w:rsid w:val="00C06032"/>
    <w:rsid w:val="00C20039"/>
    <w:rsid w:val="00C47221"/>
    <w:rsid w:val="00C54450"/>
    <w:rsid w:val="00C63FA7"/>
    <w:rsid w:val="00C65C2E"/>
    <w:rsid w:val="00C8028F"/>
    <w:rsid w:val="00CA3111"/>
    <w:rsid w:val="00D067AE"/>
    <w:rsid w:val="00D2136C"/>
    <w:rsid w:val="00D368B3"/>
    <w:rsid w:val="00D76BDC"/>
    <w:rsid w:val="00D94610"/>
    <w:rsid w:val="00DA674B"/>
    <w:rsid w:val="00DC7ADF"/>
    <w:rsid w:val="00DE7E3C"/>
    <w:rsid w:val="00E02739"/>
    <w:rsid w:val="00E56E1E"/>
    <w:rsid w:val="00E8243A"/>
    <w:rsid w:val="00E8779C"/>
    <w:rsid w:val="00E90EE9"/>
    <w:rsid w:val="00E922F0"/>
    <w:rsid w:val="00F24D19"/>
    <w:rsid w:val="00F24E69"/>
    <w:rsid w:val="00F43C7B"/>
    <w:rsid w:val="00F47698"/>
    <w:rsid w:val="00F74288"/>
    <w:rsid w:val="00FD4C7A"/>
    <w:rsid w:val="00FF174B"/>
    <w:rsid w:val="00FF4D86"/>
    <w:rsid w:val="00FF73D9"/>
    <w:rsid w:val="160B0CB5"/>
    <w:rsid w:val="1A0E3A75"/>
    <w:rsid w:val="21B15E26"/>
    <w:rsid w:val="26D94B74"/>
    <w:rsid w:val="32290F42"/>
    <w:rsid w:val="32F67EE1"/>
    <w:rsid w:val="374E6094"/>
    <w:rsid w:val="3AB8277D"/>
    <w:rsid w:val="42A32840"/>
    <w:rsid w:val="44373550"/>
    <w:rsid w:val="476867AF"/>
    <w:rsid w:val="48495358"/>
    <w:rsid w:val="4F1772C1"/>
    <w:rsid w:val="50E226DF"/>
    <w:rsid w:val="531A1190"/>
    <w:rsid w:val="55193CAE"/>
    <w:rsid w:val="56AF597C"/>
    <w:rsid w:val="56E534BC"/>
    <w:rsid w:val="674978EF"/>
    <w:rsid w:val="6B72285F"/>
    <w:rsid w:val="7855584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unhideWhenUsed/>
    <w:qFormat/>
    <w:uiPriority w:val="99"/>
    <w:rPr>
      <w:color w:val="1A66B3"/>
      <w:u w:val="none"/>
    </w:rPr>
  </w:style>
  <w:style w:type="paragraph" w:customStyle="1" w:styleId="7">
    <w:name w:val="列出段落1"/>
    <w:basedOn w:val="1"/>
    <w:qFormat/>
    <w:uiPriority w:val="34"/>
    <w:pPr>
      <w:ind w:firstLine="420" w:firstLineChars="200"/>
    </w:pPr>
  </w:style>
  <w:style w:type="character" w:customStyle="1" w:styleId="8">
    <w:name w:val="页眉 字符"/>
    <w:basedOn w:val="5"/>
    <w:link w:val="3"/>
    <w:qFormat/>
    <w:uiPriority w:val="99"/>
    <w:rPr>
      <w:rFonts w:ascii="Times New Roman" w:hAnsi="Times New Roman" w:eastAsia="宋体" w:cs="Times New Roman"/>
      <w:kern w:val="2"/>
      <w:sz w:val="18"/>
      <w:szCs w:val="18"/>
    </w:rPr>
  </w:style>
  <w:style w:type="character" w:customStyle="1" w:styleId="9">
    <w:name w:val="页脚 字符"/>
    <w:basedOn w:val="5"/>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Pages>
  <Words>633</Words>
  <Characters>3612</Characters>
  <Lines>30</Lines>
  <Paragraphs>8</Paragraphs>
  <TotalTime>0</TotalTime>
  <ScaleCrop>false</ScaleCrop>
  <LinksUpToDate>false</LinksUpToDate>
  <CharactersWithSpaces>4237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2019-09-16T03:36:00Z</dcterms:created>
  <dc:creator>mac</dc:creator>
  <cp:lastModifiedBy>YUCHUANLING</cp:lastModifiedBy>
  <cp:lastPrinted>2018-06-11T07:56:00Z</cp:lastPrinted>
  <dcterms:modified xsi:type="dcterms:W3CDTF">2022-02-17T08:08:14Z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55A3D49A741845B48C2D0BD332CD54D3</vt:lpwstr>
  </property>
</Properties>
</file>